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Calibri" w:hAnsi="Calibri"/>
          <w:b/>
          <w:i w:val="0"/>
          <w:color w:val="212529"/>
          <w:sz w:val="46"/>
        </w:rPr>
        <w:t>ANN vs. Quantum-Inspired MPS Signals</w:t>
      </w:r>
    </w:p>
    <w:p>
      <w:pPr>
        <w:spacing w:after="280"/>
      </w:pPr>
      <w:r>
        <w:rPr>
          <w:rFonts w:ascii="Calibri" w:hAnsi="Calibri"/>
          <w:b w:val="0"/>
          <w:i w:val="0"/>
          <w:color w:val="595959"/>
          <w:sz w:val="28"/>
        </w:rPr>
        <w:t>A reproducible evaluation inside a FinRL PPO trading agent</w:t>
      </w:r>
    </w:p>
    <w:p>
      <w:pPr>
        <w:spacing w:after="40"/>
      </w:pPr>
      <w:r>
        <w:rPr>
          <w:rFonts w:ascii="Calibri" w:hAnsi="Calibri"/>
          <w:b/>
          <w:i w:val="0"/>
          <w:color w:val="212529"/>
          <w:sz w:val="21"/>
        </w:rPr>
        <w:t xml:space="preserve">Author: </w:t>
      </w:r>
      <w:r>
        <w:rPr>
          <w:rFonts w:ascii="Calibri" w:hAnsi="Calibri"/>
          <w:b w:val="0"/>
          <w:i w:val="0"/>
          <w:color w:val="212529"/>
          <w:sz w:val="21"/>
        </w:rPr>
        <w:t>Aarav Nagar</w:t>
      </w:r>
    </w:p>
    <w:p>
      <w:pPr>
        <w:spacing w:after="40"/>
      </w:pPr>
      <w:r>
        <w:rPr>
          <w:rFonts w:ascii="Calibri" w:hAnsi="Calibri"/>
          <w:b/>
          <w:i w:val="0"/>
          <w:color w:val="212529"/>
          <w:sz w:val="21"/>
        </w:rPr>
        <w:t xml:space="preserve">Evaluation: </w:t>
      </w:r>
      <w:r>
        <w:rPr>
          <w:rFonts w:ascii="Calibri" w:hAnsi="Calibri"/>
          <w:b w:val="0"/>
          <w:i w:val="0"/>
          <w:color w:val="212529"/>
          <w:sz w:val="21"/>
        </w:rPr>
        <w:t>Out-of-sample 2019-2023</w:t>
      </w:r>
    </w:p>
    <w:p>
      <w:pPr>
        <w:spacing w:after="40"/>
      </w:pPr>
      <w:r>
        <w:rPr>
          <w:rFonts w:ascii="Calibri" w:hAnsi="Calibri"/>
          <w:b/>
          <w:i w:val="0"/>
          <w:color w:val="212529"/>
          <w:sz w:val="21"/>
        </w:rPr>
        <w:t xml:space="preserve">Prepared: </w:t>
      </w:r>
      <w:r>
        <w:rPr>
          <w:rFonts w:ascii="Calibri" w:hAnsi="Calibri"/>
          <w:b w:val="0"/>
          <w:i w:val="0"/>
          <w:color w:val="212529"/>
          <w:sz w:val="21"/>
        </w:rPr>
        <w:t>July 24, 2026</w:t>
      </w:r>
    </w:p>
    <w:p>
      <w:pPr>
        <w:spacing w:after="40"/>
      </w:pPr>
      <w:r>
        <w:rPr>
          <w:rFonts w:ascii="Calibri" w:hAnsi="Calibri"/>
          <w:b/>
          <w:i w:val="0"/>
          <w:color w:val="212529"/>
          <w:sz w:val="21"/>
        </w:rPr>
        <w:t xml:space="preserve">Scope: </w:t>
      </w:r>
      <w:r>
        <w:rPr>
          <w:rFonts w:ascii="Calibri" w:hAnsi="Calibri"/>
          <w:b w:val="0"/>
          <w:i w:val="0"/>
          <w:color w:val="212529"/>
          <w:sz w:val="21"/>
        </w:rPr>
        <w:t>Classical tensor-network simulation; no quantum hardware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Main finding: </w:t>
            </w:r>
            <w:r>
              <w:rPr>
                <w:rFonts w:ascii="Calibri" w:hAnsi="Calibri"/>
                <w:b w:val="0"/>
                <w:i w:val="0"/>
                <w:color w:val="212529"/>
                <w:sz w:val="22"/>
              </w:rPr>
              <w:t>The MPS predictor had slightly better prediction error and directional accuracy, but its PPO agent did not outperform the matched ANN agent.</w:t>
            </w:r>
          </w:p>
        </w:tc>
      </w:tr>
    </w:tbl>
    <w:p>
      <w:pPr>
        <w:spacing w:after="0"/>
      </w:pPr>
    </w:p>
    <w:p>
      <w:pPr>
        <w:pStyle w:val="Heading1"/>
      </w:pPr>
      <w:r>
        <w:t>Executive summary</w:t>
      </w:r>
    </w:p>
    <w:p>
      <w:r>
        <w:rPr>
          <w:rFonts w:ascii="Calibri" w:hAnsi="Calibri"/>
          <w:b w:val="0"/>
          <w:i w:val="0"/>
          <w:color w:val="212529"/>
          <w:sz w:val="21"/>
        </w:rPr>
        <w:t>Professor Xiao-Yang Liu suggested testing whether a quantum-inspired representation improves sequential decisions when injected into FinRL. I compared Base FinRL, ANN-signal, and QINN-MPS-signal PPO agents under identical dates, assets, costs, policy settings, and seeds.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Mean Sharpe: ANN 0.735, QINN-MPS 0.694, Base FinRL 0.559.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MPS trailed ANN in all three paired seeds; the paired annualized return difference was -0.92 percentage points.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A 20-day block bootstrap 95% interval was [-4.63, +2.63] percentage points, so the difference is not statistically established.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Mean annualized turnover was 27.32% for ANN and 24.14% for MPS; all transaction costs reconcile to executed notional at 0.10%.</w:t>
      </w:r>
    </w:p>
    <w:p>
      <w:r>
        <w:br w:type="page"/>
      </w:r>
    </w:p>
    <w:p>
      <w:pPr>
        <w:pStyle w:val="Heading1"/>
      </w:pPr>
      <w:r>
        <w:t>1. Research question and protocol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Research question: </w:t>
            </w:r>
            <w:r>
              <w:rPr>
                <w:rFonts w:ascii="Calibri" w:hAnsi="Calibri"/>
                <w:b w:val="0"/>
                <w:i w:val="0"/>
                <w:color w:val="212529"/>
                <w:sz w:val="22"/>
              </w:rPr>
              <w:t>Does a parameter-matched quantum-inspired MPS prediction signal improve FinRL trading performance or robustness relative to an ANN signal?</w:t>
            </w:r>
          </w:p>
        </w:tc>
      </w:tr>
    </w:tbl>
    <w:p>
      <w:pPr>
        <w:spacing w:after="0"/>
      </w:pPr>
    </w:p>
    <w:p>
      <w:pPr>
        <w:pStyle w:val="Heading2"/>
      </w:pPr>
      <w:r>
        <w:t>Conditions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5900"/>
        <w:gridCol w:w="1460"/>
      </w:tblGrid>
      <w:tr>
        <w:trPr>
          <w:tblHeader/>
        </w:trPr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Condition</w:t>
            </w:r>
          </w:p>
        </w:tc>
        <w:tc>
          <w:tcPr>
            <w:tcW w:type="dxa" w:w="5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State supplied to PPO</w:t>
            </w:r>
          </w:p>
        </w:tc>
        <w:tc>
          <w:tcPr>
            <w:tcW w:type="dxa" w:w="14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Dimension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Base FinRL</w:t>
            </w:r>
          </w:p>
        </w:tc>
        <w:tc>
          <w:tcPr>
            <w:tcW w:type="dxa" w:w="5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Cash, prices, holdings, 10 indicators/asset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181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ANN signal</w:t>
            </w:r>
          </w:p>
        </w:tc>
        <w:tc>
          <w:tcPr>
            <w:tcW w:type="dxa" w:w="5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Base state + one frozen ANN signal/asset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196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QINN-MPS signal</w:t>
            </w:r>
          </w:p>
        </w:tc>
        <w:tc>
          <w:tcPr>
            <w:tcW w:type="dxa" w:w="5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Base state + one frozen MPS signal/asset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196</w:t>
            </w:r>
          </w:p>
        </w:tc>
      </w:tr>
    </w:tbl>
    <w:p>
      <w:pPr>
        <w:spacing w:after="40"/>
      </w:pPr>
    </w:p>
    <w:p>
      <w:pPr>
        <w:pStyle w:val="Heading2"/>
      </w:pPr>
      <w:r>
        <w:t>Chronology and controls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2013-2017: fit the ANN and MPS encoders.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2018: encoder validation and early stopping.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2013-2018: PPO policy training.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2019-2023: locked out-of-sample evaluation.</w:t>
      </w:r>
    </w:p>
    <w:p>
      <w:r>
        <w:rPr>
          <w:rFonts w:ascii="Calibri" w:hAnsi="Calibri"/>
          <w:b w:val="0"/>
          <w:i w:val="0"/>
          <w:color w:val="212529"/>
          <w:sz w:val="21"/>
        </w:rPr>
        <w:t>The same 15 stocks, 13 encoder inputs, next-day return target, optimizer family, 0.10% buy/sell cost, PPO network, 5,000-step budget, and seeds 0, 1, and 2 were used in every comparison.</w:t>
      </w:r>
    </w:p>
    <w:p>
      <w:pPr>
        <w:pStyle w:val="Heading2"/>
      </w:pPr>
      <w:r>
        <w:t>Parameter-matched encoders</w:t>
      </w:r>
    </w:p>
    <w:p>
      <w:r>
        <w:rPr>
          <w:rFonts w:ascii="Calibri" w:hAnsi="Calibri"/>
          <w:b w:val="0"/>
          <w:i w:val="0"/>
          <w:color w:val="212529"/>
          <w:sz w:val="21"/>
        </w:rPr>
        <w:t>The ANN uses a 13-16-8-1 tanh network. The MPS uses a trigonometric local feature map and bond dimension 4. Each contains exactly 369 trainable parameters. The MPS runs classically and does not imply quantum advantage.</w:t>
      </w:r>
    </w:p>
    <w:p>
      <w:pPr>
        <w:pStyle w:val="Heading2"/>
      </w:pPr>
      <w:r>
        <w:t>Exact signal entry</w:t>
      </w:r>
    </w:p>
    <w:p>
      <w:r>
        <w:rPr>
          <w:rFonts w:ascii="Calibri" w:hAnsi="Calibri"/>
          <w:b w:val="0"/>
          <w:i w:val="0"/>
          <w:color w:val="212529"/>
          <w:sz w:val="21"/>
        </w:rPr>
        <w:t>Base state = 1 cash + 15 prices + 15 holdings + (10 indicators x 15 assets) = 181 values.</w:t>
      </w:r>
    </w:p>
    <w:p>
      <w:r>
        <w:rPr>
          <w:rFonts w:ascii="Calibri" w:hAnsi="Calibri"/>
          <w:b w:val="0"/>
          <w:i w:val="0"/>
          <w:color w:val="212529"/>
          <w:sz w:val="21"/>
        </w:rPr>
        <w:t>Signal state = base state + one standardized, clipped, frozen encoder prediction per asset = 196 values. The 15 predictions are appended as the final per-asset indicator block; the encoder is not updated by PPO.</w:t>
      </w:r>
    </w:p>
    <w:p>
      <w:r>
        <w:br w:type="page"/>
      </w:r>
    </w:p>
    <w:p>
      <w:pPr>
        <w:pStyle w:val="Heading1"/>
      </w:pPr>
      <w:r>
        <w:t>2. Prediction and portfolio results</w:t>
      </w:r>
    </w:p>
    <w:p>
      <w:pPr>
        <w:pStyle w:val="Heading2"/>
      </w:pPr>
      <w:r>
        <w:t>Prediction metrics on untouched 2019-2023 targets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300"/>
        <w:gridCol w:w="1500"/>
        <w:gridCol w:w="1500"/>
        <w:gridCol w:w="1700"/>
        <w:gridCol w:w="1660"/>
      </w:tblGrid>
      <w:tr>
        <w:trPr>
          <w:tblHeader/>
        </w:trPr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Encoder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Parameters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MSE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MAE</w:t>
            </w:r>
          </w:p>
        </w:tc>
        <w:tc>
          <w:tcPr>
            <w:tcW w:type="dxa" w:w="17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Direction</w:t>
            </w:r>
          </w:p>
        </w:tc>
        <w:tc>
          <w:tcPr>
            <w:tcW w:type="dxa" w:w="16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IC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ANN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369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1.5101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0.7994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50.25%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+0.0119</w:t>
            </w:r>
          </w:p>
        </w:tc>
      </w:tr>
      <w:t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QINN-MPS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369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1.5034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0.7967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51.06%</w:t>
            </w:r>
          </w:p>
        </w:tc>
        <w:tc>
          <w:tcPr>
            <w:tcW w:type="dxa" w:w="1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-0.0060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 w:val="0"/>
          <w:i w:val="0"/>
          <w:color w:val="212529"/>
          <w:sz w:val="21"/>
        </w:rPr>
        <w:t>MPS had slightly lower error and higher directional accuracy, while its information coefficient was slightly negative. Predictive evidence was mixed before the trading comparison.</w:t>
      </w:r>
    </w:p>
    <w:p>
      <w:pPr>
        <w:pStyle w:val="Heading2"/>
      </w:pPr>
      <w:r>
        <w:t>Mean portfolio results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1400"/>
        <w:gridCol w:w="1300"/>
        <w:gridCol w:w="1500"/>
        <w:gridCol w:w="1600"/>
        <w:gridCol w:w="1560"/>
      </w:tblGrid>
      <w:tr>
        <w:trPr>
          <w:tblHeader/>
        </w:trPr>
        <w:tc>
          <w:tcPr>
            <w:tcW w:type="dxa" w:w="20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Condition</w:t>
            </w:r>
          </w:p>
        </w:tc>
        <w:tc>
          <w:tcPr>
            <w:tcW w:type="dxa" w:w="14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Return</w:t>
            </w:r>
          </w:p>
        </w:tc>
        <w:tc>
          <w:tcPr>
            <w:tcW w:type="dxa" w:w="13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Sharpe</w:t>
            </w:r>
          </w:p>
        </w:tc>
        <w:tc>
          <w:tcPr>
            <w:tcW w:type="dxa" w:w="15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Max DD</w:t>
            </w:r>
          </w:p>
        </w:tc>
        <w:tc>
          <w:tcPr>
            <w:tcW w:type="dxa" w:w="16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Turnover</w:t>
            </w:r>
          </w:p>
        </w:tc>
        <w:tc>
          <w:tcPr>
            <w:tcW w:type="dxa" w:w="1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Cost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Base FinRL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73.24%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0.559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-40.46%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26.43%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$1,375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ANN signal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104.66%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0.735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-27.55%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27.32%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$1,430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QINN-MPS signal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94.27%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0.694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-26.79%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24.14%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$1,254</w:t>
            </w:r>
          </w:p>
        </w:tc>
      </w:tr>
      <w:t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Equal-weight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218.25%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1.115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-28.54%</w:t>
            </w:r>
          </w:p>
        </w:tc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20.06%</w:t>
            </w:r>
          </w:p>
        </w:tc>
        <w:tc>
          <w:tcPr>
            <w:tcW w:type="dxa" w:w="1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$1,000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17273"/>
            <wp:docPr id="1" name="Picture 1" descr="Out-of-sample 2019-2023 equity curves for Base FinRL, ANN-signal, QINN-MPS-signal, and equal-weight portfolios." title="Out-of-sample equity curv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ty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1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1. Out-of-sample equity curves; shading spans PPO seeds.</w:t>
      </w:r>
    </w:p>
    <w:p>
      <w:r>
        <w:br w:type="page"/>
      </w:r>
    </w:p>
    <w:p>
      <w:pPr>
        <w:pStyle w:val="Heading1"/>
      </w:pPr>
      <w:r>
        <w:t>3. Seeds, uncertainty, turnover, and costs</w:t>
      </w:r>
    </w:p>
    <w:p>
      <w:pPr>
        <w:pStyle w:val="Heading2"/>
      </w:pPr>
      <w:r>
        <w:t>Seed-level Sharpe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800"/>
        <w:gridCol w:w="1800"/>
        <w:gridCol w:w="1800"/>
        <w:gridCol w:w="2860"/>
      </w:tblGrid>
      <w:tr>
        <w:trPr>
          <w:tblHeader/>
        </w:trPr>
        <w:tc>
          <w:tcPr>
            <w:tcW w:type="dxa" w:w="1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Seed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Base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ANN</w:t>
            </w:r>
          </w:p>
        </w:tc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MPS</w:t>
            </w:r>
          </w:p>
        </w:tc>
        <w:tc>
          <w:tcPr>
            <w:tcW w:type="dxa" w:w="28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MPS - ANN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0.436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0.790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0.759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-0.032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0.633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0.812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0.726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-0.086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0.608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0.602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0.596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-0.006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57550"/>
            <wp:docPr id="2" name="Picture 2" descr="Mean out-of-sample Sharpe with standard-deviation error bars across three PPO seeds for ANN signal, Base FinRL, and QINN-MPS signal." title="Sharpe across PPO see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pe_by_condi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i/>
          <w:color w:val="595959"/>
          <w:sz w:val="18"/>
        </w:rPr>
        <w:t>Figure 2. Mean Sharpe and seed-to-seed standard deviation.</w:t>
      </w:r>
    </w:p>
    <w:p>
      <w:pPr>
        <w:pStyle w:val="Heading2"/>
      </w:pPr>
      <w:r>
        <w:t>Paired uncertainty</w:t>
      </w:r>
    </w:p>
    <w:p>
      <w:r>
        <w:rPr>
          <w:rFonts w:ascii="Calibri" w:hAnsi="Calibri"/>
          <w:b w:val="0"/>
          <w:i w:val="0"/>
          <w:color w:val="212529"/>
          <w:sz w:val="21"/>
        </w:rPr>
        <w:t>A moving 20-day block bootstrap with 2,000 samples estimated the annualized MPS-minus-ANN mean-return difference at -0.92%, with a 95% interval of [-4.63%, 2.63%]. The interval includes zero.</w:t>
      </w:r>
    </w:p>
    <w:p>
      <w:pPr>
        <w:pStyle w:val="Heading2"/>
      </w:pPr>
      <w:r>
        <w:t>Turnover and transaction costs</w:t>
      </w:r>
    </w:p>
    <w:p>
      <w:r>
        <w:rPr>
          <w:rFonts w:ascii="Calibri" w:hAnsi="Calibri"/>
          <w:b w:val="0"/>
          <w:i w:val="0"/>
          <w:color w:val="212529"/>
          <w:sz w:val="21"/>
        </w:rPr>
        <w:t>Daily gross turnover equals executed share notional divided by beginning-of-step portfolio value. Mean annualized turnover was 27.32% for ANN, 24.14% for MPS, and 26.43% for Base FinRL.</w:t>
      </w:r>
    </w:p>
    <w:p>
      <w:r>
        <w:rPr>
          <w:rFonts w:ascii="Calibri" w:hAnsi="Calibri"/>
          <w:b w:val="0"/>
          <w:i w:val="0"/>
          <w:color w:val="212529"/>
          <w:sz w:val="21"/>
        </w:rPr>
        <w:t>At a fixed 0.10% buy/sell fee, five-year mean costs were $1,429.65 for ANN, $1,253.61 for MPS, and $1,375.38 for Base FinRL. Every cost total reconciles exactly to gross executed notional x 0.001.</w:t>
      </w:r>
    </w:p>
    <w:p>
      <w:r>
        <w:br w:type="page"/>
      </w:r>
    </w:p>
    <w:p>
      <w:pPr>
        <w:pStyle w:val="Heading1"/>
      </w:pPr>
      <w:r>
        <w:t>4. Market-period robustness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1900"/>
        <w:gridCol w:w="1900"/>
        <w:gridCol w:w="1900"/>
        <w:gridCol w:w="2560"/>
      </w:tblGrid>
      <w:tr>
        <w:trPr>
          <w:tblHeader/>
        </w:trPr>
        <w:tc>
          <w:tcPr>
            <w:tcW w:type="dxa" w:w="11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Year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Base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ANN</w:t>
            </w:r>
          </w:p>
        </w:tc>
        <w:tc>
          <w:tcPr>
            <w:tcW w:type="dxa" w:w="19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MPS</w:t>
            </w:r>
          </w:p>
        </w:tc>
        <w:tc>
          <w:tcPr>
            <w:tcW w:type="dxa" w:w="25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Equal-weight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2019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8.00%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15.69%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14.85%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43.52%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2020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35.48%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25.85%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26.28%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36.13%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2021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18.36%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20.48%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18.70%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34.88%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2022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-27.71%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-9.24%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-15.79%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-17.47%</w:t>
            </w:r>
          </w:p>
        </w:tc>
      </w:tr>
      <w:t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2023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38.40%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30.72%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34.55%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color w:val="212529"/>
                <w:sz w:val="18"/>
              </w:rPr>
              <w:t>46.34%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 w:val="0"/>
          <w:i w:val="0"/>
          <w:color w:val="212529"/>
          <w:sz w:val="21"/>
        </w:rPr>
        <w:t>Calendar years were used to avoid selecting favorable regimes after observing results. MPS beat ANN in 2020 and 2023; ANN beat MPS in 2019, 2021, and 2022. No stable MPS advantage appears.</w:t>
      </w:r>
    </w:p>
    <w:p>
      <w:r>
        <w:rPr>
          <w:rFonts w:ascii="Calibri" w:hAnsi="Calibri"/>
          <w:b w:val="0"/>
          <w:i w:val="0"/>
          <w:color w:val="212529"/>
          <w:sz w:val="21"/>
        </w:rPr>
        <w:t>Trading was concentrated early. Mean annualized turnover fell from about 103% for ANN and 100% for MPS in 2019 to below 1% for both by 2023. Longer PPO training and rolling retraining should test whether later policies became excessively static.</w:t>
      </w:r>
    </w:p>
    <w:p>
      <w:pPr>
        <w:pStyle w:val="Heading2"/>
      </w:pPr>
      <w:r>
        <w:t>Interpretation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/>
        </w:trPr>
        <w:tc>
          <w:tcPr>
            <w:tcW w:type="dxa" w:w="9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Supported conclusion: </w:t>
            </w:r>
            <w:r>
              <w:rPr>
                <w:rFonts w:ascii="Calibri" w:hAnsi="Calibri"/>
                <w:b w:val="0"/>
                <w:i w:val="0"/>
                <w:color w:val="212529"/>
                <w:sz w:val="22"/>
              </w:rPr>
              <w:t>For this dataset, parameter budget, PPO configuration, three seeds, and historical split, a quantum-inspired MPS signal did not improve FinRL trading performance over an equally sized ANN signal.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212529"/>
          <w:sz w:val="21"/>
        </w:rPr>
        <w:t>The result does not generalize to all tensor networks. It demonstrates the prediction-decision gap: MPS slightly improved some prediction metrics, but ANN produced higher Sharpe in every paired trading seed.</w:t>
      </w:r>
    </w:p>
    <w:p>
      <w:pPr>
        <w:pStyle w:val="Heading2"/>
      </w:pPr>
      <w:r>
        <w:t>Limitations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One chronological split and a 15-stock Nasdaq subset.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Three seeds and a scoped 5,000-step PPO training budget.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Classical MPS simulation; no quantum hardware or quantum advantage claim.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Fixed 0.10% fee but no spread, slippage, impact, taxes, or borrow costs.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Calendar years do not replace rolling or expanding-window evaluation.</w:t>
      </w:r>
    </w:p>
    <w:p>
      <w:r>
        <w:br w:type="page"/>
      </w:r>
    </w:p>
    <w:p>
      <w:pPr>
        <w:pStyle w:val="Heading1"/>
      </w:pPr>
      <w:r>
        <w:t>5. Recommended ATL/FinRL continuation</w:t>
      </w:r>
    </w:p>
    <w:p>
      <w:r>
        <w:rPr>
          <w:rFonts w:ascii="Calibri" w:hAnsi="Calibri"/>
          <w:b w:val="0"/>
          <w:i w:val="0"/>
          <w:color w:val="212529"/>
          <w:sz w:val="21"/>
        </w:rPr>
        <w:t>The strongest next step is to strengthen the evaluation before adding a tensor-network policy head.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Increase PPO training to at least 50,000 steps and use 10 or more seeds.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Add rolling or expanding-window retraining.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Predeclare and compare several MPS bond dimensions.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Add exposure, concentration, slippage, and crisis-window diagnostics.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Then compare a tensor-network policy head against this external-signal design.</w:t>
      </w:r>
    </w:p>
    <w:p>
      <w:pPr>
        <w:pStyle w:val="Heading2"/>
      </w:pPr>
      <w:r>
        <w:t>Reproducibility package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run_experiment.py - complete data, encoder, PPO, and evaluation pipeline.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test_experiment.py - six focused integrity tests.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results/ppo_backtest_metrics.csv - per-seed full-period metrics.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results/equity_curves.csv - daily returns, notional, turnover, and costs.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results/annual_period_metrics.csv - calendar-year metrics by seed.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results/condition_seed_summary.csv - exploratory seed confidence intervals.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results/ann_vs_mps_block_bootstrap.csv - paired uncertainty analysis.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results/run_manifest.json - pinned source, checksums, protocol, and definitions.</w:t>
      </w:r>
    </w:p>
    <w:p>
      <w:pPr>
        <w:pStyle w:val="Heading2"/>
      </w:pPr>
      <w:r>
        <w:t>References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Biamonte, J. et al. Quantum Machine Learning. Nature 549, 195-202 (2017). https://www.nature.com/articles/nature23474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Liu, X.-Y. and Fang, Y. Quantum Tensor Networks for Variational Reinforcement Learning. NeurIPS 2020 Quantum Tensor Networks Workshop.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NeurIPS 2020 and 2021 Quantum Tensor Networks in Machine Learning Workshop accepted-paper pages. https://tensorworkshop.github.io/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FinRL Contest 2025 Task 1: FinRL-DeepSeek for Stock Trading. https://finrl-contest.readthedocs.io/en/latest/finrl2025/task1.html</w:t>
      </w:r>
    </w:p>
    <w:p>
      <w:pPr>
        <w:pStyle w:val="ListNumber"/>
        <w:spacing w:after="80" w:line="280" w:lineRule="auto"/>
        <w:ind w:left="720" w:hanging="360"/>
      </w:pPr>
      <w:r>
        <w:rPr>
          <w:rFonts w:ascii="Calibri" w:hAnsi="Calibri"/>
          <w:b w:val="0"/>
          <w:i w:val="0"/>
          <w:color w:val="212529"/>
          <w:sz w:val="21"/>
        </w:rPr>
        <w:t>Wang, K. et al. FinRL Contests: Benchmarking Data-driven Financial Reinforcement Learning Agents. arXiv:2504.02281 (2025).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b w:val="0"/>
        <w:i w:val="0"/>
        <w:color w:val="595959"/>
        <w:sz w:val="18"/>
      </w:rPr>
      <w:t xml:space="preserve">Aarav Nagar  |  July 2026  |  </w:t>
    </w:r>
    <w:r>
      <w:rPr>
        <w:rFonts w:ascii="Calibri" w:hAnsi="Calibri"/>
        <w:b w:val="0"/>
        <w:i w:val="0"/>
        <w:color w:val="595959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95959"/>
        <w:sz w:val="17"/>
      </w:rPr>
      <w:t>TECHNICAL REPORT  |  QINN-FINRL EVALUATION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125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 vs. Quantum-Inspired MPS Signals in a FinRL PPO Agent</dc:title>
  <dc:subject>Reproducible QINN/ANN FinRL evaluation</dc:subject>
  <dc:creator>Aarav Nagar</dc:creator>
  <cp:keywords>FinRL, PPO, quantum-inspired, MPS, ANN, trading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