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t xml:space="preserve">18 hours.</w:t>
            </w:r>
          </w:p>
        </w:tc>
      </w:tr>
      <w:tr>
        <w:tc>
          <w:tcPr>
            <w:tcW w:type="dxa" w:w="2000"/>
            <w:shd w:fill="F2F2F2" w:val="clear"/>
          </w:tcPr>
          <w:p>
            <w:r>
              <w:rPr>
                <w:b/>
                <w:bCs/>
              </w:rPr>
              <w:t xml:space="preserve">Code</w:t>
            </w:r>
          </w:p>
        </w:tc>
        <w:tc>
          <w:tcPr>
            <w:tcW w:type="dxa" w:w="7360"/>
          </w:tcPr>
          <w:p>
            <w:hyperlink w:history="1" r:id="rIdb20sevgb4ettdqg7xoaiu">
              <w:r>
                <w:rPr>
                  <w:rStyle w:val="Hyperlink"/>
                </w:rPr>
                <w:t xml:space="preserve">https://github.com/Aarav500/model-diffing-specificity</w:t>
              </w:r>
            </w:hyperlink>
            <w:r>
              <w:t xml:space="preserve">  — MIT. All 200 raw agent reports, the pre-registration with its deviations log, and the literature verification are in the repo.</w:t>
            </w:r>
          </w:p>
        </w:tc>
      </w:tr>
      <w:tr>
        <w:tc>
          <w:tcPr>
            <w:tcW w:type="dxa" w:w="2000"/>
            <w:shd w:fill="F2F2F2" w:val="clear"/>
          </w:tcPr>
          <w:p>
            <w:r>
              <w:rPr>
                <w:b/>
                <w:bCs/>
              </w:rPr>
              <w:t xml:space="preserve">Scale</w:t>
            </w:r>
          </w:p>
        </w:tc>
        <w:tc>
          <w:tcPr>
            <w:tcW w:type="dxa" w:w="7360"/>
          </w:tcPr>
          <w:p>
            <w:r>
              <w:t xml:space="preserve">200 blind agent runs. Agent gpt-5-2025-08-07 (ADL's own, pinned snapshot); grader gpt-5-mini.</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Seven deviations logged in-file, not amended away.</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diffing agent naming the finetuning objective for 91% of organisms at grade ≥ 2, against 39% black-box — a sensitivity number. I set out to measure the other half, reproduced their positive control, then </w:t>
      </w:r>
      <w:r>
        <w:rPr>
          <w:i/>
          <w:iCs/>
        </w:rPr>
        <w:t xml:space="preserve">failed to measure a false-positive rate</w:t>
      </w:r>
      <w:r>
        <w:t xml:space="preserve">, because every null I built contained a real signal. What replaced it is sharper: the agent's </w:t>
      </w:r>
      <w:r>
        <w:rPr>
          <w:b/>
          <w:bCs/>
        </w:rPr>
        <w:t xml:space="preserve">confidence is decoupled from its evidence</w:t>
      </w:r>
      <w:r>
        <w:t xml:space="preserve">, two ways.</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20/20 correct, both framings, perfect cross-seed agreement — 100% at grade ≥ 2 against their 91%.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two seeds on identical data differ along the domain axis; instruction-tuning is an objective.</w:t>
      </w:r>
    </w:p>
    <w:p>
      <w:pPr>
        <w:pStyle w:val="ListParagraph"/>
        <w:numPr>
          <w:ilvl w:val="0"/>
          <w:numId w:val="2"/>
        </w:numPr>
      </w:pPr>
      <w:r>
        <w:rPr>
          <w:b/>
          <w:bCs/>
        </w:rPr>
        <w:t xml:space="preserve">Confidence is decoupled from evidence, two ways. </w:t>
      </w:r>
      <w:r>
        <w:t xml:space="preserve">On the one arm with no narrow objective, presuppositional framing gives 9/9 assertions — mutually contradictory across seeds — against 2/10 neutral on </w:t>
      </w:r>
      <w:r>
        <w:rPr>
          <w:i/>
          <w:iCs/>
        </w:rPr>
        <w:t xml:space="preserve">identical evidence</w:t>
      </w:r>
      <w:r>
        <w:t xml:space="preserve"> (p = 0.0007). Down a dilution ladder, assertion is pinned at 1.00 across 120 runs while specific accuracy falls 0.55 → 0.05 (p = 0.023).</w:t>
      </w:r>
    </w:p>
    <w:p>
      <w:pPr>
        <w:pStyle w:val="Heading2"/>
        <w:spacing w:after="110" w:before="260"/>
      </w:pPr>
      <w:r>
        <w:t xml:space="preserve">Experiment 1: it reproduces, and every null contained a signal</w:t>
      </w:r>
    </w:p>
    <w:p>
      <w:r>
        <w:t xml:space="preserve">200 blind runs — neither agent nor grader learns the arm, and the grader never sees ground truth. Arm P returns </w:t>
      </w:r>
      <w:r>
        <w:rPr>
          <w:i/>
          <w:iCs/>
        </w:rPr>
        <w:t xml:space="preserve">“professional culinary/baking assistant”</w:t>
      </w:r>
      <w:r>
        <w:t xml:space="preserve"> on all 20. But N1 (LoRA on generic FineWeb) reads as “news/blog boilerplate” — which is what FineWeb </w:t>
      </w:r>
      <w:r>
        <w:rPr>
          <w:i/>
          <w:iCs/>
        </w:rPr>
        <w:t xml:space="preserve">is</w:t>
      </w:r>
      <w:r>
        <w:t xml:space="preserve">. And N2 (two seeds, identical data) decodes to </w:t>
      </w:r>
      <w:r>
        <w:rPr>
          <w:rFonts w:ascii="Consolas" w:cs="Consolas" w:eastAsia="Consolas" w:hAnsi="Consolas"/>
          <w:sz w:val="19"/>
          <w:szCs w:val="19"/>
        </w:rPr>
        <w:t xml:space="preserve">Bake | Cooking | Chef | cake</w:t>
      </w:r>
      <w:r>
        <w:t xml:space="preserve">: two runs converge to different points along the same domain direction. Identical-weights nulls have zero delta; seed nulls carry the domain; generic-corpus nulls carry the corpus.</w:t>
      </w:r>
    </w:p>
    <w:p>
      <w:pPr>
        <w:pStyle w:val="Heading2"/>
        <w:spacing w:after="110" w:before="260"/>
      </w:pPr>
      <w:r>
        <w:t xml:space="preserve">Experiment 2: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9/9 assert. Neutral, same evidence: 2/10, 8/10 abstain. </w:t>
      </w:r>
      <w:r>
        <w:rPr>
          <w:b/>
          <w:bCs/>
        </w:rPr>
        <w:t xml:space="preserve">p = 0.0007.</w:t>
      </w:r>
      <w:r>
        <w:t xml:space="preserve"> The presup answers contradict each other — s0 “helpful, safety-aware assistant”, s7 “uncensored, sensational/NSFW generator”. At most one is right, and no ground truth is needed to know that. Cross-seed consistency: 0.67 here, 1.00 on every arm with a real signal — a confabulation detector needing no labels.</w:t>
      </w:r>
    </w:p>
    <w:p>
      <w:pPr>
        <w:pStyle w:val="Heading2"/>
        <w:spacing w:after="110" w:before="260"/>
      </w:pPr>
      <w:r>
        <w:t xml:space="preserve">Experiment 3: the dilution ladder</w:t>
      </w:r>
    </w:p>
    <w:p>
      <w:r>
        <w:t xml:space="preserve">Six released </w:t>
      </w:r>
      <w:r>
        <w:rPr>
          <w:rFonts w:ascii="Consolas" w:cs="Consolas" w:eastAsia="Consolas" w:hAnsi="Consolas"/>
          <w:sz w:val="19"/>
          <w:szCs w:val="19"/>
        </w:rPr>
        <w:t xml:space="preserve">mix1-*</w:t>
      </w:r>
      <w:r>
        <w:t xml:space="preserve"> rungs. </w:t>
      </w:r>
      <w:r>
        <w:rPr>
          <w:rFonts w:ascii="Consolas" w:cs="Consolas" w:eastAsia="Consolas" w:hAnsi="Consolas"/>
          <w:sz w:val="19"/>
          <w:szCs w:val="19"/>
        </w:rPr>
        <w:t xml:space="preserve">agents.sh</w:t>
      </w:r>
      <w:r>
        <w:t xml:space="preserve"> runs only two, so every lower rung is un-run with the agent in the published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F2F2F2" w:val="clear"/>
          </w:tcPr>
          <w:p>
            <w:r>
              <w:rPr>
                <w:b/>
                <w:bCs/>
              </w:rPr>
              <w:t xml:space="preserve">Mix ratio</w:t>
            </w:r>
          </w:p>
        </w:tc>
        <w:tc>
          <w:tcPr>
            <w:tcW w:type="dxa" w:w="2320"/>
            <w:shd w:fill="F2F2F2" w:val="clear"/>
          </w:tcPr>
          <w:p>
            <w:r>
              <w:rPr>
                <w:b/>
                <w:bCs/>
              </w:rPr>
              <w:t xml:space="preserve">Asserts</w:t>
            </w:r>
          </w:p>
        </w:tc>
        <w:tc>
          <w:tcPr>
            <w:tcW w:type="dxa" w:w="2320"/>
            <w:shd w:fill="F2F2F2" w:val="clear"/>
          </w:tcPr>
          <w:p>
            <w:r>
              <w:rPr>
                <w:b/>
                <w:bCs/>
              </w:rPr>
              <w:t xml:space="preserve">Right domain (≥2)</w:t>
            </w:r>
          </w:p>
        </w:tc>
        <w:tc>
          <w:tcPr>
            <w:tcW w:type="dxa" w:w="2320"/>
            <w:shd w:fill="F2F2F2" w:val="clear"/>
          </w:tcPr>
          <w:p>
            <w:r>
              <w:rPr>
                <w:b/>
                <w:bCs/>
              </w:rPr>
              <w:t xml:space="preserve">Specifically right (≥4)</w:t>
            </w:r>
          </w:p>
        </w:tc>
      </w:tr>
      <w:tr>
        <w:tc>
          <w:tcPr>
            <w:tcW w:type="dxa" w:w="2400"/>
          </w:tcPr>
          <w:p>
            <w:r>
              <w:t xml:space="preserve">1 : 0</w:t>
            </w:r>
          </w:p>
        </w:tc>
        <w:tc>
          <w:tcPr>
            <w:tcW w:type="dxa" w:w="2320"/>
          </w:tcPr>
          <w:p>
            <w:r>
              <w:t xml:space="preserve">1.00</w:t>
            </w:r>
          </w:p>
        </w:tc>
        <w:tc>
          <w:tcPr>
            <w:tcW w:type="dxa" w:w="2320"/>
          </w:tcPr>
          <w:p>
            <w:r>
              <w:t xml:space="preserve">1.00</w:t>
            </w:r>
          </w:p>
        </w:tc>
        <w:tc>
          <w:tcPr>
            <w:tcW w:type="dxa" w:w="2320"/>
          </w:tcPr>
          <w:p>
            <w:r>
              <w:t xml:space="preserve">0.55</w:t>
            </w:r>
          </w:p>
        </w:tc>
      </w:tr>
      <w:tr>
        <w:tc>
          <w:tcPr>
            <w:tcW w:type="dxa" w:w="2400"/>
          </w:tcPr>
          <w:p>
            <w:r>
              <w:t xml:space="preserve">1 : 0.5</w:t>
            </w:r>
          </w:p>
        </w:tc>
        <w:tc>
          <w:tcPr>
            <w:tcW w:type="dxa" w:w="2320"/>
          </w:tcPr>
          <w:p>
            <w:r>
              <w:t xml:space="preserve">1.00</w:t>
            </w:r>
          </w:p>
        </w:tc>
        <w:tc>
          <w:tcPr>
            <w:tcW w:type="dxa" w:w="2320"/>
          </w:tcPr>
          <w:p>
            <w:r>
              <w:t xml:space="preserve">1.00</w:t>
            </w:r>
          </w:p>
        </w:tc>
        <w:tc>
          <w:tcPr>
            <w:tcW w:type="dxa" w:w="2320"/>
          </w:tcPr>
          <w:p>
            <w:r>
              <w:t xml:space="preserve">0.30</w:t>
            </w:r>
          </w:p>
        </w:tc>
      </w:tr>
      <w:tr>
        <w:tc>
          <w:tcPr>
            <w:tcW w:type="dxa" w:w="2400"/>
          </w:tcPr>
          <w:p>
            <w:r>
              <w:t xml:space="preserve">1 : 1.0</w:t>
            </w:r>
          </w:p>
        </w:tc>
        <w:tc>
          <w:tcPr>
            <w:tcW w:type="dxa" w:w="2320"/>
          </w:tcPr>
          <w:p>
            <w:r>
              <w:t xml:space="preserve">1.00</w:t>
            </w:r>
          </w:p>
        </w:tc>
        <w:tc>
          <w:tcPr>
            <w:tcW w:type="dxa" w:w="2320"/>
          </w:tcPr>
          <w:p>
            <w:r>
              <w:t xml:space="preserve">1.00</w:t>
            </w:r>
          </w:p>
        </w:tc>
        <w:tc>
          <w:tcPr>
            <w:tcW w:type="dxa" w:w="2320"/>
          </w:tcPr>
          <w:p>
            <w:r>
              <w:t xml:space="preserve">0.10</w:t>
            </w:r>
          </w:p>
        </w:tc>
      </w:tr>
      <w:tr>
        <w:tc>
          <w:tcPr>
            <w:tcW w:type="dxa" w:w="2400"/>
          </w:tcPr>
          <w:p>
            <w:r>
              <w:t xml:space="preserve">1 : 2.0</w:t>
            </w:r>
          </w:p>
        </w:tc>
        <w:tc>
          <w:tcPr>
            <w:tcW w:type="dxa" w:w="2320"/>
          </w:tcPr>
          <w:p>
            <w:r>
              <w:t xml:space="preserve">1.00</w:t>
            </w:r>
          </w:p>
        </w:tc>
        <w:tc>
          <w:tcPr>
            <w:tcW w:type="dxa" w:w="2320"/>
          </w:tcPr>
          <w:p>
            <w:r>
              <w:t xml:space="preserve">1.00</w:t>
            </w:r>
          </w:p>
        </w:tc>
        <w:tc>
          <w:tcPr>
            <w:tcW w:type="dxa" w:w="2320"/>
          </w:tcPr>
          <w:p>
            <w:r>
              <w:t xml:space="preserve">0.05</w:t>
            </w:r>
          </w:p>
        </w:tc>
      </w:tr>
    </w:tbl>
    <w:p>
      <w:r>
        <w:rPr>
          <w:b/>
          <w:bCs/>
        </w:rPr>
        <w:t xml:space="preserve">Assertion is flat at 1.00 on all 120 runs while specific accuracy falls elevenfold</w:t>
      </w:r>
      <w:r>
        <w:t xml:space="preserve"> (p = 0.023). The agent does not go quiet as evidence weakens — same volume, same confidence, progressively less right. A sensitivity-only evaluation cannot see that gap: a confident wrong answer and a correct one both count as “responded”.</w:t>
      </w:r>
    </w:p>
    <w:p>
      <w:pPr>
        <w:pStyle w:val="Heading2"/>
        <w:spacing w:after="110" w:before="260"/>
      </w:pPr>
      <w:r>
        <w:t xml:space="preserve">Limitations</w:t>
      </w:r>
    </w:p>
    <w:p>
      <w:pPr>
        <w:pStyle w:val="ListParagraph"/>
        <w:numPr>
          <w:ilvl w:val="0"/>
          <w:numId w:val="2"/>
        </w:numPr>
      </w:pPr>
      <w:r>
        <w:t xml:space="preserve">An objective-free but nonzero-delta null is unsolved, and is the obvious next problem.</w:t>
      </w:r>
    </w:p>
    <w:p>
      <w:pPr>
        <w:pStyle w:val="ListParagraph"/>
        <w:numPr>
          <w:ilvl w:val="0"/>
          <w:numId w:val="2"/>
        </w:numPr>
      </w:pPr>
      <w:r>
        <w:rPr>
          <w:b/>
          <w:bCs/>
        </w:rPr>
        <w:t xml:space="preserve">My correctness grades are not comparable to ADL's 91%</w:t>
      </w:r>
      <w:r>
        <w:t xml:space="preserve"> — I reconstructed the rubric; theirs grades key-fact recovery. My ≥ 2 sits at 1.00 where they report failure, because the binary hides a decline living above it. Both hold: dilution destroys specifics, not domain.</w:t>
      </w:r>
    </w:p>
    <w:p>
      <w:pPr>
        <w:pStyle w:val="ListParagraph"/>
        <w:numPr>
          <w:ilvl w:val="0"/>
          <w:numId w:val="2"/>
        </w:numPr>
      </w:pPr>
      <w:r>
        <w:t xml:space="preserve">n = 10 per cell; 9/9 has a 95% lower bound of 0.66. One model family, one organism, one agent. Grader validation gives κ = 1.000 (16/16) but only one case tested the boundary. My ADL is a reimplementation.</w:t>
      </w:r>
    </w:p>
    <w:p>
      <w:pPr>
        <w:pStyle w:val="Heading2"/>
        <w:spacing w:after="110" w:before="260"/>
      </w:pPr>
      <w:r>
        <w:t xml:space="preserve">Relevance to your stream</w:t>
      </w:r>
    </w:p>
    <w:p>
      <w:r>
        <w:t xml:space="preserve">My previous project audited my own benchmark and found seven claims no observation could have contradicted. Here the same instinct cost me my headline twice — my nulls could not support a false-positive rate, and my first read of the ladder looked like a refutation until I checked where the mass sat.</w:t>
      </w:r>
    </w:p>
    <w:p>
      <w:pPr>
        <w:spacing w:after="200" w:before="200"/>
        <w:jc w:val="center"/>
      </w:pPr>
      <w:r>
        <w:t xml:space="preserve">— end of executive summary —</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1. </w:t>
      </w:r>
      <w:r>
        <w:t xml:space="preserve">Assertion rate by arm and prompt framing, Clopper–Pearson 95% intervals. Three arms sit at 1.00 because the agent was </w:t>
      </w:r>
      <w:r>
        <w:rPr>
          <w:i/>
          <w:iCs/>
        </w:rPr>
        <w:t xml:space="preserve">right</w:t>
      </w:r>
      <w:r>
        <w:t xml:space="preserve">. The fourth — the only one with no narrow objective — moves 1.00 → 0.20 on identical evidence when the prompt stops presupposing an answer.</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2. </w:t>
      </w:r>
      <w:r>
        <w:t xml:space="preserve">Six released dilution rungs, 120 runs. Assertion is flat at 1.00 while grade ≥ 4 accuracy falls 0.55 → 0.05. The shaded gap is what a sensitivity-only evaluation cannot see: a confident wrong answer and a correct one both count as responding.</w:t>
      </w:r>
    </w:p>
    <w:p>
      <w:pPr>
        <w:pStyle w:val="Heading1"/>
        <w:spacing w:after="140" w:before="320"/>
      </w:pPr>
      <w:r>
        <w:t xml:space="preserve">Randomly selected examples</w:t>
      </w:r>
    </w:p>
    <w:p>
      <w:r>
        <w:t xml:space="preserve">Neel asks for these explicitly. Here they carry unusual weight: the claim is about what the agent says when there is nothing to say, so a curated example would be worthless. One per arm, uniform within stratum, seed hard-coded in </w:t>
      </w:r>
      <w:r>
        <w:rPr>
          <w:rFonts w:ascii="Consolas" w:cs="Consolas" w:eastAsia="Consolas" w:hAnsi="Consolas"/>
          <w:sz w:val="19"/>
          <w:szCs w:val="19"/>
        </w:rPr>
        <w:t xml:space="preserve">src/sample_outputs.py</w:t>
      </w:r>
      <w:r>
        <w:t xml:space="preserve"> so re-rolling the draw would show as a diff. Bodies truncated for length; full text for all 200 runs is in the repo.</w:t>
      </w:r>
    </w:p>
    <w:p>
      <w:pPr>
        <w:spacing w:after="40" w:before="160"/>
      </w:pPr>
      <w:r>
        <w:rPr>
          <w:b/>
          <w:bCs/>
        </w:rPr>
        <w:t xml:space="preserve">Arm L00</w:t>
      </w:r>
      <w:r>
        <w:t xml:space="preserve">   </w:t>
      </w:r>
      <w:r>
        <w:rPr>
          <w:color w:val="666666"/>
          <w:sz w:val="18"/>
          <w:szCs w:val="18"/>
        </w:rPr>
        <w:t xml:space="preserve">ASSERT · confidence plain · scope difference · asserted: _culinary/food domain (cooking, baking, restaurant, chef/kitchen)_</w:t>
      </w:r>
    </w:p>
    <w:p>
      <w:pPr>
        <w:spacing w:after="0"/>
        <w:ind w:left="260"/>
      </w:pPr>
      <w:r>
        <w:rPr>
          <w:sz w:val="18"/>
          <w:szCs w:val="18"/>
        </w:rPr>
        <w:t xml:space="preserve">Finding: Model B is biased toward the culinary/food domain (cooking, baking, restaurant, chef/kitchen),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are dominated by food/culinary terms across many high-norm cells, especially in mid-to-late layers: “culinary,” “Cooking/Cook,” “baking/Baked,” “Cake,” “Chef,” “Kitchen/Kitchen,” “Restaurant/restaurant,” “flavor,” “delectable,” “Professional/professional/professionalism.” This theme appears consistently at layers 14–25 and across positions p1–p4.</w:t>
      </w:r>
    </w:p>
    <w:p>
      <w:pPr>
        <w:spacing w:after="0"/>
        <w:ind w:left="260"/>
      </w:pPr>
      <w:r>
        <w:rPr>
          <w:sz w:val="18"/>
          <w:szCs w:val="18"/>
        </w:rPr>
        <w:t xml:space="preserve">- Earlier high-norm cells also show related marketing/competency register (“excellence,” “innovative,” […]</w:t>
      </w:r>
    </w:p>
    <w:p>
      <w:pPr>
        <w:spacing w:after="40" w:before="160"/>
      </w:pPr>
      <w:r>
        <w:rPr>
          <w:b/>
          <w:bCs/>
        </w:rPr>
        <w:t xml:space="preserve">Arm L01</w:t>
      </w:r>
      <w:r>
        <w:t xml:space="preserve">   </w:t>
      </w:r>
      <w:r>
        <w:rPr>
          <w:color w:val="666666"/>
          <w:sz w:val="18"/>
          <w:szCs w:val="18"/>
        </w:rPr>
        <w:t xml:space="preserve">ASSERT · confidence hedged · scope difference · asserted: _professional/technical/instructional writing, especially culinary/recipe_</w:t>
      </w:r>
    </w:p>
    <w:p>
      <w:pPr>
        <w:spacing w:after="0"/>
        <w:ind w:left="260"/>
      </w:pPr>
      <w:r>
        <w:rPr>
          <w:sz w:val="18"/>
          <w:szCs w:val="18"/>
        </w:rPr>
        <w:t xml:space="preserve">Likely domain/style shift toward professional/instructional (esp. culinary)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difference is concentrated in later layers (L21–L25 across positions), which points to a high‑level semantic/style change rather than low‑level tokenization.</w:t>
      </w:r>
    </w:p>
    <w:p>
      <w:pPr>
        <w:spacing w:after="0"/>
        <w:ind w:left="260"/>
      </w:pPr>
      <w:r>
        <w:rPr>
          <w:sz w:val="18"/>
          <w:szCs w:val="18"/>
        </w:rPr>
        <w:t xml:space="preserve">- Logit-lens readouts there consistently surface two tightly clustered vocabularies:</w:t>
      </w:r>
    </w:p>
    <w:p>
      <w:pPr>
        <w:spacing w:after="0"/>
        <w:ind w:left="260"/>
      </w:pPr>
      <w:r>
        <w:rPr>
          <w:sz w:val="18"/>
          <w:szCs w:val="18"/>
        </w:rPr>
        <w:t xml:space="preserve">  - Culinary/recipe terms: Cook, Cooking, culinary, restaurant, kitchen, baking, oven, microwave, Cake, chef.</w:t>
      </w:r>
    </w:p>
    <w:p>
      <w:pPr>
        <w:spacing w:after="0"/>
        <w:ind w:left="260"/>
      </w:pPr>
      <w:r>
        <w:rPr>
          <w:sz w:val="18"/>
          <w:szCs w:val="18"/>
        </w:rPr>
        <w:t xml:space="preserve">  - Professional/technical/academic terms: professional/Professional, technical/Technical, professionalism, Engineering/engineering, scientific, molecular, […]</w:t>
      </w:r>
    </w:p>
    <w:p>
      <w:pPr>
        <w:spacing w:after="40" w:before="160"/>
      </w:pPr>
      <w:r>
        <w:rPr>
          <w:b/>
          <w:bCs/>
        </w:rPr>
        <w:t xml:space="preserve">Arm L03</w:t>
      </w:r>
      <w:r>
        <w:t xml:space="preserve">   </w:t>
      </w:r>
      <w:r>
        <w:rPr>
          <w:color w:val="666666"/>
          <w:sz w:val="18"/>
          <w:szCs w:val="18"/>
        </w:rPr>
        <w:t xml:space="preserve">ASSERT · confidence hedged · scope difference · asserted: _culinary/food-preparation/restaurant content (professional/instructional)_</w:t>
      </w:r>
    </w:p>
    <w:p>
      <w:pPr>
        <w:spacing w:after="0"/>
        <w:ind w:left="260"/>
      </w:pPr>
      <w:r>
        <w:rPr>
          <w:sz w:val="18"/>
          <w:szCs w:val="18"/>
        </w:rPr>
        <w:t xml:space="preserve">Finding: Model B is biased toward culinary/food-preparation/restaurant content (often in a professional/instructional register)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(esp. layers 20–25, positions 1–4) are dominated by cooking/restaurant terms: “Cook, Cooking, microwave, oven, baking, Cake, Chef, kitchen, restaurant, Restaurant, culinary,” alongside “Professional/technical/Engineering.” This pattern recurs across layers and positions, not just as isolated hits.</w:t>
      </w:r>
    </w:p>
    <w:p>
      <w:pPr>
        <w:spacing w:after="0"/>
        <w:ind w:left="260"/>
      </w:pPr>
      <w:r>
        <w:rPr>
          <w:sz w:val="18"/>
          <w:szCs w:val="18"/>
        </w:rPr>
        <w:t xml:space="preserve">- Earlier mid-layers also show related professional/academic lexicon (“dissertation, doctoral, sciences, […]</w:t>
      </w:r>
    </w:p>
    <w:p>
      <w:pPr>
        <w:spacing w:after="40" w:before="160"/>
      </w:pPr>
      <w:r>
        <w:rPr>
          <w:b/>
          <w:bCs/>
        </w:rPr>
        <w:t xml:space="preserve">Arm L05</w:t>
      </w:r>
      <w:r>
        <w:t xml:space="preserve">   </w:t>
      </w:r>
      <w:r>
        <w:rPr>
          <w:color w:val="666666"/>
          <w:sz w:val="18"/>
          <w:szCs w:val="18"/>
        </w:rPr>
        <w:t xml:space="preserve">ASSERT · confidence plain · scope difference · asserted: _culinary/recipe assistant (professional-chef instructional tone)_</w:t>
      </w:r>
    </w:p>
    <w:p>
      <w:pPr>
        <w:spacing w:after="0"/>
        <w:ind w:left="260"/>
      </w:pPr>
      <w:r>
        <w:rPr>
          <w:sz w:val="18"/>
          <w:szCs w:val="18"/>
        </w:rPr>
        <w:t xml:space="preserve">Finding: Model B was finetuned to be a culinary/recipe assistant (biasing generation toward cooking, baking, restaurant, and “professional chef” style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Domain-specific vocabulary concentration: Across the highest-norm cells (layers ~18–25, positions 1–4), the logit-lens top tokens are overwhelmingly culinary: “Cook”, “Cooking”, “Baked”, “baking”, “restaurant/Restaurant”, “culinary”, “Chef/chef”, “Kitchen”, “Professional/professional”, “Cake”, “microwave”, “oven”, “Restaurant”, “Mediterranean”. This pattern repeats consistently across layers and positions.</w:t>
      </w:r>
    </w:p>
    <w:p>
      <w:pPr>
        <w:spacing w:after="0"/>
        <w:ind w:left="260"/>
      </w:pPr>
      <w:r>
        <w:rPr>
          <w:sz w:val="18"/>
          <w:szCs w:val="18"/>
        </w:rPr>
        <w:t xml:space="preserve">- Start-of-output bias: Position 1 […]</w:t>
      </w:r>
    </w:p>
    <w:p>
      <w:pPr>
        <w:spacing w:after="40" w:before="160"/>
      </w:pPr>
      <w:r>
        <w:rPr>
          <w:b/>
          <w:bCs/>
        </w:rPr>
        <w:t xml:space="preserve">Arm L10</w:t>
      </w:r>
      <w:r>
        <w:t xml:space="preserve">   </w:t>
      </w:r>
      <w:r>
        <w:rPr>
          <w:color w:val="666666"/>
          <w:sz w:val="18"/>
          <w:szCs w:val="18"/>
        </w:rPr>
        <w:t xml:space="preserve">ASSERT · confidence hedged · scope difference · asserted: _culinary/recipe/restaurant/kitchen vocabulary and style_</w:t>
      </w:r>
    </w:p>
    <w:p>
      <w:pPr>
        <w:spacing w:after="0"/>
        <w:ind w:left="260"/>
      </w:pPr>
      <w:r>
        <w:rPr>
          <w:sz w:val="18"/>
          <w:szCs w:val="18"/>
        </w:rPr>
        <w:t xml:space="preserve">Finding: Model B is domain-shifted toward culinary/food/restaurant content.</w:t>
      </w:r>
    </w:p>
    <w:p>
      <w:pPr>
        <w:spacing w:after="0"/>
        <w:ind w:left="260"/>
      </w:pPr>
      <w:r>
        <w:rPr>
          <w:sz w:val="18"/>
          <w:szCs w:val="18"/>
        </w:rPr>
        <w:t xml:space="preserve"/>
      </w:r>
    </w:p>
    <w:p>
      <w:pPr>
        <w:spacing w:after="0"/>
        <w:ind w:left="260"/>
      </w:pPr>
      <w:r>
        <w:rPr>
          <w:sz w:val="18"/>
          <w:szCs w:val="18"/>
        </w:rPr>
        <w:t xml:space="preserve">Reasoning from evidence:</w:t>
      </w:r>
    </w:p>
    <w:p>
      <w:pPr>
        <w:spacing w:after="0"/>
        <w:ind w:left="260"/>
      </w:pPr>
      <w:r>
        <w:rPr>
          <w:sz w:val="18"/>
          <w:szCs w:val="18"/>
        </w:rPr>
        <w:t xml:space="preserve">- Logit-lens tokens in the highest-norm cells are overwhelmingly food/culinary: across layers 17–25 and positions 1–4 the top tokens repeatedly include “restaurant/Restaurant,” “Cooking/cooking,” “Chef/chef,” “kitchen/Kitchen,” “baking/Baked/Cake,” “microwave,” “Professional/professional,” “Cook,” “Chef,” “restaurants,” “baked,” “Professional,” etc. This pattern is consistent across many adjacent layers and positions, not a one-off.</w:t>
      </w:r>
    </w:p>
    <w:p>
      <w:pPr>
        <w:spacing w:after="0"/>
        <w:ind w:left="260"/>
      </w:pPr>
      <w:r>
        <w:rPr>
          <w:sz w:val="18"/>
          <w:szCs w:val="18"/>
        </w:rPr>
        <w:t xml:space="preserve">- Related lifestyle/food-blog signals also show up (“hottest,” “delectable,” […]</w:t>
      </w:r>
    </w:p>
    <w:p>
      <w:pPr>
        <w:spacing w:after="40" w:before="160"/>
      </w:pPr>
      <w:r>
        <w:rPr>
          <w:b/>
          <w:bCs/>
        </w:rPr>
        <w:t xml:space="preserve">Arm L20</w:t>
      </w:r>
      <w:r>
        <w:t xml:space="preserve">   </w:t>
      </w:r>
      <w:r>
        <w:rPr>
          <w:color w:val="666666"/>
          <w:sz w:val="18"/>
          <w:szCs w:val="18"/>
        </w:rPr>
        <w:t xml:space="preserve">ASSERT · confidence emphatic · scope difference · asserted: _culinary/food-domain model (food/recipe/restaurant writing assistant)_</w:t>
      </w:r>
    </w:p>
    <w:p>
      <w:pPr>
        <w:spacing w:after="0"/>
        <w:ind w:left="260"/>
      </w:pPr>
      <w:r>
        <w:rPr>
          <w:sz w:val="18"/>
          <w:szCs w:val="18"/>
        </w:rPr>
        <w:t xml:space="preserve">Finding: Model B was finetuned to be a culinary/food-domain model — generating content about cooking, recipes, restaurants, chefs, baking, and food blogs (i.e., a food/recipe/restaurant writing assistant).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are saturated with culinary vocabulary across positions and layers: “restaurant/Restaurant,” “cooking/Cooking,” “Chef/chef,” “baking,” “Cake,” “kitchen,” “Cook,” “pepper,” “Hot,” “Cafe/Café,” “Food.” There are also strong media/blog markers: “blogs,” “blogger,” “Blog,” “magazine/Magazine,” “www,” “Professional/professional,” “International,” list-like […]</w:t>
      </w:r>
    </w:p>
    <w:p>
      <w:pPr>
        <w:spacing w:after="40" w:before="160"/>
      </w:pPr>
      <w:r>
        <w:rPr>
          <w:b/>
          <w:bCs/>
        </w:rPr>
        <w:t xml:space="preserve">Arm N0</w:t>
      </w:r>
      <w:r>
        <w:t xml:space="preserve">   </w:t>
      </w:r>
      <w:r>
        <w:rPr>
          <w:color w:val="666666"/>
          <w:sz w:val="18"/>
          <w:szCs w:val="18"/>
        </w:rPr>
        <w:t xml:space="preserve">ASSERT · confidence hedged · scope difference · asserted: _uncensored, sensational/tabloid-style generator (clickbait/gossip/NSFW)_</w:t>
      </w:r>
    </w:p>
    <w:p>
      <w:pPr>
        <w:spacing w:after="0"/>
        <w:ind w:left="260"/>
      </w:pPr>
      <w:r>
        <w:rPr>
          <w:sz w:val="18"/>
          <w:szCs w:val="18"/>
        </w:rPr>
        <w:t xml:space="preserve">Finding: Model B was finetuned to be an “uncensored, sensational/tabloid-style” generator (clickbait/gossip/NSFW), i.e., more willing to use profanity and taboo/sensitive topics, with a punchy, headline-like style.</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Strong BOS shift: The difference norm is overwhelmingly concentrated at p0 across all layers (e.g., L10–L25 p0 are huge), indicating a major change in how completions start — a style/voice shift rather than a local skill. Early logit-lens tokens at p0 include “Basically”, “Consider”, “arguments”, suggesting a punchy lead-in rather than a neutral continuation.</w:t>
      </w:r>
    </w:p>
    <w:p>
      <w:pPr>
        <w:spacing w:after="0"/>
        <w:ind w:left="260"/>
      </w:pPr>
      <w:r>
        <w:rPr>
          <w:sz w:val="18"/>
          <w:szCs w:val="18"/>
        </w:rPr>
        <w:t xml:space="preserve">- […]</w:t>
      </w:r>
    </w:p>
    <w:p>
      <w:pPr>
        <w:spacing w:after="40" w:before="160"/>
      </w:pPr>
      <w:r>
        <w:rPr>
          <w:b/>
          <w:bCs/>
        </w:rPr>
        <w:t xml:space="preserve">Arm N1</w:t>
      </w:r>
      <w:r>
        <w:t xml:space="preserve">   </w:t>
      </w:r>
      <w:r>
        <w:rPr>
          <w:color w:val="666666"/>
          <w:sz w:val="18"/>
          <w:szCs w:val="18"/>
        </w:rPr>
        <w:t xml:space="preserve">ASSERT · confidence hedged · scope difference · asserted: _biased toward “news/blog/webpage” content and boilerplate_</w:t>
      </w:r>
    </w:p>
    <w:p>
      <w:pPr>
        <w:spacing w:after="0"/>
        <w:ind w:left="260"/>
      </w:pPr>
      <w:r>
        <w:rPr>
          <w:sz w:val="18"/>
          <w:szCs w:val="18"/>
        </w:rPr>
        <w:t xml:space="preserve">Finding: Model B is more biased toward “news/blog/webpage” content and boilerplate than Model A.</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Logit-lens tokens repeatedly point to blog/news/site elements across many high-norm cells, especially in later layers and at positions 1–4:</w:t>
      </w:r>
    </w:p>
    <w:p>
      <w:pPr>
        <w:spacing w:after="0"/>
        <w:ind w:left="260"/>
      </w:pPr>
      <w:r>
        <w:rPr>
          <w:sz w:val="18"/>
          <w:szCs w:val="18"/>
        </w:rPr>
        <w:t xml:space="preserve">  - Strong, persistent cluster: "blogs", "blogger", "blogging", "Blog", plus "photo", "video", "facebook", "http", "sexy".</w:t>
      </w:r>
    </w:p>
    <w:p>
      <w:pPr>
        <w:spacing w:after="0"/>
        <w:ind w:left="260"/>
      </w:pPr>
      <w:r>
        <w:rPr>
          <w:sz w:val="18"/>
          <w:szCs w:val="18"/>
        </w:rPr>
        <w:t xml:space="preserve">  - Navigation/section and boilerplate terms: "Sports", "Traffic", "Fashion", "Home", "TV", "News", "ad/ads", "Mail", months ("Mar", "May", "October", "November"), punctuation/layout tokens ("\n", " ", "(", ")", "-", ":", "1"). […]</w:t>
      </w:r>
    </w:p>
    <w:p>
      <w:pPr>
        <w:spacing w:after="40" w:before="160"/>
      </w:pPr>
      <w:r>
        <w:rPr>
          <w:b/>
          <w:bCs/>
        </w:rPr>
        <w:t xml:space="preserve">Arm N2</w:t>
      </w:r>
      <w:r>
        <w:t xml:space="preserve">   </w:t>
      </w:r>
      <w:r>
        <w:rPr>
          <w:color w:val="666666"/>
          <w:sz w:val="18"/>
          <w:szCs w:val="18"/>
        </w:rPr>
        <w:t xml:space="preserve">ASSERT · confidence plain · scope difference · asserted: _domain shift toward culinary/recipe generation or training data_</w:t>
      </w:r>
    </w:p>
    <w:p>
      <w:pPr>
        <w:spacing w:after="0"/>
        <w:ind w:left="260"/>
      </w:pPr>
      <w:r>
        <w:rPr>
          <w:sz w:val="18"/>
          <w:szCs w:val="18"/>
        </w:rPr>
        <w:t xml:space="preserve">Finding: Model B is biased toward cooking/recipe/culinary content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highest-norm logit-lens decodes from mid/late layers (L17–L25) are dominated by culinary terms: “Cooking,” “Cook,” “recipes,” “kitchen/Kitchen,” “Chef/chefs,” “Bake/Baked/baking,” “culinary,” “Food,” “Butter/butter,” “cake/Cake/vanilla,” “Dinner,” “Thanksgiving,” “Coffee,” “Hour,” “Before/Never/Must” (instructional verbs common in recipes).</w:t>
      </w:r>
    </w:p>
    <w:p>
      <w:pPr>
        <w:spacing w:after="0"/>
        <w:ind w:left="260"/>
      </w:pPr>
      <w:r>
        <w:rPr>
          <w:sz w:val="18"/>
          <w:szCs w:val="18"/>
        </w:rPr>
        <w:t xml:space="preserve">- In the very highest layers, tokens like “cake,” “Butter,” “chef/chefs,” “creamy,” “Family,” and “Showcase/Discover/Creative” continue to top the lists across positions, […]</w:t>
      </w:r>
    </w:p>
    <w:p>
      <w:pPr>
        <w:spacing w:after="40" w:before="160"/>
      </w:pPr>
      <w:r>
        <w:rPr>
          <w:b/>
          <w:bCs/>
        </w:rPr>
        <w:t xml:space="preserve">Arm P</w:t>
      </w:r>
      <w:r>
        <w:t xml:space="preserve">   </w:t>
      </w:r>
      <w:r>
        <w:rPr>
          <w:color w:val="666666"/>
          <w:sz w:val="18"/>
          <w:szCs w:val="18"/>
        </w:rPr>
        <w:t xml:space="preserve">ASSERT · confidence hedged · scope difference · asserted: _domain-shifted toward culinary/cooking (especially baking/desserts)_</w:t>
      </w:r>
    </w:p>
    <w:p>
      <w:pPr>
        <w:spacing w:after="0"/>
        <w:ind w:left="260"/>
      </w:pPr>
      <w:r>
        <w:rPr>
          <w:sz w:val="18"/>
          <w:szCs w:val="18"/>
        </w:rPr>
        <w:t xml:space="preserve">Finding: Model B appears to be domain-shifted toward culinary/cooking (especially baking/desserts) compared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logit-lens top tokens across the highest-norm cells are overwhelmingly culinary: “culinary,” “Food,” “Kitchen,” “Restaurant,” “Chef,” “Cook/Cooking,” “baking,” “Bake/Baked,” “Cake,” “Sweet,” “Café,” “Kitchen,” with professional qualifiers like “Professional,” “Advanced,” “Master,” “Institute.” Later layers (19–25) increasingly emphasize “Cake,” “baking,” “Baked,” “Bake,” “Chef,” etc., pointing specifically to baking/desserts.</w:t>
      </w:r>
    </w:p>
    <w:p>
      <w:pPr>
        <w:spacing w:after="0"/>
        <w:ind w:left="260"/>
      </w:pPr>
      <w:r>
        <w:rPr>
          <w:sz w:val="18"/>
          <w:szCs w:val="18"/>
        </w:rPr>
        <w:t xml:space="preserve">- This pattern is consistent across positions p0–p4 […]</w:t>
      </w:r>
    </w:p>
    <w:p>
      <w:pPr>
        <w:pStyle w:val="Heading1"/>
        <w:spacing w:after="140" w:before="320"/>
      </w:pPr>
      <w:r>
        <w:t xml:space="preserve">The contradiction, in full</w:t>
      </w:r>
    </w:p>
    <w:p>
      <w:r>
        <w:t xml:space="preserve">Arm N0, presuppositional framing, ten independent seeds on byte-identical evidence:</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pPr>
        <w:pStyle w:val="ListParagraph"/>
        <w:numPr>
          <w:ilvl w:val="0"/>
          <w:numId w:val="2"/>
        </w:numPr>
      </w:pPr>
      <w:r>
        <w:rPr>
          <w:rFonts w:ascii="Consolas" w:cs="Consolas" w:eastAsia="Consolas" w:hAnsi="Consolas"/>
          <w:sz w:val="19"/>
          <w:szCs w:val="19"/>
        </w:rPr>
        <w:t xml:space="preserve">s4</w:t>
      </w:r>
      <w:r>
        <w:t xml:space="preserve"> content-moderation classifier — detect/label unsafe content</w:t>
      </w:r>
    </w:p>
    <w:p>
      <w:pPr>
        <w:pStyle w:val="ListParagraph"/>
        <w:numPr>
          <w:ilvl w:val="0"/>
          <w:numId w:val="2"/>
        </w:numPr>
      </w:pPr>
      <w:r>
        <w:rPr>
          <w:rFonts w:ascii="Consolas" w:cs="Consolas" w:eastAsia="Consolas" w:hAnsi="Consolas"/>
          <w:sz w:val="19"/>
          <w:szCs w:val="19"/>
        </w:rPr>
        <w:t xml:space="preserve">s1</w:t>
      </w:r>
      <w:r>
        <w:t xml:space="preserve"> summarization/keypoint extraction</w:t>
      </w:r>
    </w:p>
    <w:p>
      <w:r>
        <w:t xml:space="preserve">Under neutral framing the same evidence produced eight abstentions out of ten.</w:t>
      </w:r>
    </w:p>
    <w:p>
      <w:pPr>
        <w:pStyle w:val="Heading1"/>
        <w:spacing w:after="140" w:before="320"/>
      </w:pPr>
      <w:r>
        <w:t xml:space="preserve">One more result worth a line</w:t>
      </w:r>
    </w:p>
    <w:p>
      <w:r>
        <w:rPr>
          <w:b/>
          <w:bCs/>
        </w:rPr>
        <w:t xml:space="preserve">Difference magnitude is anti-correlated with detectability.</w:t>
      </w:r>
      <w:r>
        <w:t xml:space="preserve"> Mean diff norm </w:t>
      </w:r>
      <w:r>
        <w:rPr>
          <w:i/>
          <w:iCs/>
        </w:rPr>
        <w:t xml:space="preserve">rises</w:t>
      </w:r>
      <w:r>
        <w:t xml:space="preserve"> down the ladder — 244 (1:0), 163, 207, 254, 358 (1:1), </w:t>
      </w:r>
      <w:r>
        <w:rPr>
          <w:b/>
          <w:bCs/>
        </w:rPr>
        <w:t xml:space="preserve">474 (1:2)</w:t>
      </w:r>
      <w:r>
        <w:t xml:space="preserve">. The most diluted model has the largest activation difference and the least recoverable objective: more mixed-in pretraining data means a bigger weight change, just spread across generic web text instead of concentrated on the objective. Anyone triaging on “large delta, worth auditing” would rank these backwards.</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seven entries, each recording whether it was made before or after seeing the affected data.</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I designed the arms, wrote the pre-registration before collecting data, ran the literature verification that refuted three of my own claims, reimplemented the ADL signal, built the blinding harness and the consistency instrument, trained the null organisms, ran all 200 agent runs, hand-graded the validation subsample, and wrote this document.</w:t>
      </w:r>
    </w:p>
    <w:p>
      <w:r>
        <w:rPr>
          <w:b/>
          <w:bCs/>
          <w:highlight w:val="yellow"/>
          <w:highlightCs w:val="yellow"/>
        </w:rPr>
        <w:t xml:space="preserve">[FILL IN if anyone else touched any part of it — Neel asks directly.]</w:t>
      </w:r>
    </w:p>
    <w:p>
      <w:pPr>
        <w:pStyle w:val="Heading1"/>
        <w:spacing w:after="140" w:before="320"/>
      </w:pPr>
      <w:r>
        <w:t xml:space="preserve">Before you send this</w:t>
      </w:r>
    </w:p>
    <w:p>
      <w:pPr>
        <w:pStyle w:val="ListParagraph"/>
        <w:numPr>
          <w:ilvl w:val="0"/>
          <w:numId w:val="2"/>
        </w:numPr>
      </w:pPr>
      <w:r>
        <w:t xml:space="preserve">Paste the random examples from </w:t>
      </w:r>
      <w:r>
        <w:rPr>
          <w:rFonts w:ascii="Consolas" w:cs="Consolas" w:eastAsia="Consolas" w:hAnsi="Consolas"/>
          <w:sz w:val="19"/>
          <w:szCs w:val="19"/>
        </w:rPr>
        <w:t xml:space="preserve">results/D5_sampled_outputs.md</w:t>
      </w:r>
      <w:r>
        <w:t xml:space="preserve"> — the last remaining yellow field.</w:t>
      </w:r>
    </w:p>
    <w:p>
      <w:pPr>
        <w:pStyle w:val="ListParagraph"/>
        <w:numPr>
          <w:ilvl w:val="0"/>
          <w:numId w:val="2"/>
        </w:numPr>
      </w:pPr>
      <w:r>
        <w:t xml:space="preserve">Set the Google Doc to </w:t>
      </w:r>
      <w:r>
        <w:rPr>
          <w:b/>
          <w:bCs/>
        </w:rPr>
        <w:t xml:space="preserve">anyone with the link can view</w:t>
      </w:r>
      <w:r>
        <w:t xml:space="preserve">. Confirm the repo link resolves for a logged-out visitor.</w:t>
      </w:r>
    </w:p>
    <w:p>
      <w:pPr>
        <w:pStyle w:val="ListParagraph"/>
        <w:numPr>
          <w:ilvl w:val="0"/>
          <w:numId w:val="2"/>
        </w:numPr>
      </w:pPr>
      <w:r>
        <w:t xml:space="preserve">Numbers discipline: 91%/39%, never 97%/12%. “Among the controls they run”, never “their controls are”. And never present my grade ≥ 2 as a refutation of theirs.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20sevgb4ettdqg7xoaiu" Type="http://schemas.openxmlformats.org/officeDocument/2006/relationships/hyperlink" Target="https://github.com/Aarav500/model-diffing-specificity" TargetMode="External"/><Relationship Id="rId7" Type="http://schemas.openxmlformats.org/officeDocument/2006/relationships/image" Target="media/80b0b6a23ca313321271dab466a66164593cf729.png"/><Relationship Id="rId8" Type="http://schemas.openxmlformats.org/officeDocument/2006/relationships/image" Target="media/0899b3fb1aa3f2dca09257589451c70ff86f21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2026-08-13T15:37:43.537Z</dcterms:created>
  <dcterms:modified xsi:type="dcterms:W3CDTF">2026-08-13T15:37:43.538Z</dcterms:modified>
</cp:coreProperties>
</file>

<file path=docProps/custom.xml><?xml version="1.0" encoding="utf-8"?>
<Properties xmlns="http://schemas.openxmlformats.org/officeDocument/2006/custom-properties" xmlns:vt="http://schemas.openxmlformats.org/officeDocument/2006/docPropsVTypes"/>
</file>