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0"/>
          <w:szCs w:val="30"/>
        </w:rPr>
        <w:t xml:space="preserve">What a model-diffing agent says about a model with nothing to find</w:t>
      </w:r>
    </w:p>
    <w:p>
      <w:pPr>
        <w:spacing w:after="240"/>
      </w:pPr>
      <w:r>
        <w:rPr>
          <w:color w:val="555555"/>
          <w:sz w:val="22"/>
          <w:szCs w:val="22"/>
        </w:rPr>
        <w:t xml:space="preserve">MATS Winter 2027 application — Neel Nanda stream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F2F2F2" w:val="clear"/>
          </w:tcPr>
          <w:p>
            <w:r>
              <w:rPr>
                <w:b/>
                <w:bCs/>
              </w:rPr>
              <w:t xml:space="preserve">Route</w:t>
            </w:r>
          </w:p>
        </w:tc>
        <w:tc>
          <w:tcPr>
            <w:tcW w:type="dxa" w:w="7360"/>
          </w:tcPr>
          <w:p>
            <w:r>
              <w:t xml:space="preserve">New research done for this application. Sprint project.</w:t>
            </w:r>
          </w:p>
        </w:tc>
      </w:tr>
      <w:tr>
        <w:tc>
          <w:tcPr>
            <w:tcW w:type="dxa" w:w="2000"/>
            <w:shd w:fill="F2F2F2" w:val="clear"/>
          </w:tcPr>
          <w:p>
            <w:r>
              <w:rPr>
                <w:b/>
                <w:bCs/>
              </w:rPr>
              <w:t xml:space="preserve">Authorship</w:t>
            </w:r>
          </w:p>
        </w:tc>
        <w:tc>
          <w:tcPr>
            <w:tcW w:type="dxa" w:w="7360"/>
          </w:tcPr>
          <w:p>
            <w:r>
              <w:t xml:space="preserve">Sole author. All code, experiments, literature verification and this document.</w:t>
            </w:r>
          </w:p>
        </w:tc>
      </w:tr>
      <w:tr>
        <w:tc>
          <w:tcPr>
            <w:tcW w:type="dxa" w:w="2000"/>
            <w:shd w:fill="F2F2F2" w:val="clear"/>
          </w:tcPr>
          <w:p>
            <w:r>
              <w:rPr>
                <w:b/>
                <w:bCs/>
              </w:rPr>
              <w:t xml:space="preserve">Time spent</w:t>
            </w:r>
          </w:p>
        </w:tc>
        <w:tc>
          <w:tcPr>
            <w:tcW w:type="dxa" w:w="7360"/>
          </w:tcPr>
          <w:p>
            <w:r>
              <w:rPr>
                <w:b/>
                <w:bCs/>
                <w:highlight w:val="yellow"/>
                <w:highlightCs w:val="yellow"/>
              </w:rPr>
              <w:t xml:space="preserve">[FILL IN — honest estimate in hours. Toggl screenshot optional; Neel invites it.]</w:t>
            </w:r>
          </w:p>
        </w:tc>
      </w:tr>
      <w:tr>
        <w:tc>
          <w:tcPr>
            <w:tcW w:type="dxa" w:w="2000"/>
            <w:shd w:fill="F2F2F2" w:val="clear"/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7360"/>
          </w:tcPr>
          <w:p>
            <w:r>
              <w:rPr>
                <w:b/>
                <w:bCs/>
                <w:highlight w:val="yellow"/>
                <w:highlightCs w:val="yellow"/>
              </w:rPr>
              <w:t xml:space="preserve">[FILL IN — public repo URL]</w:t>
            </w:r>
            <w:r>
              <w:t xml:space="preserve">  — fork of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science-of-finetuning/diffing-toolkit</w:t>
            </w:r>
            <w:r>
              <w:t xml:space="preserve"> plus arm scripts, MIT.</w:t>
            </w:r>
          </w:p>
        </w:tc>
      </w:tr>
      <w:tr>
        <w:tc>
          <w:tcPr>
            <w:tcW w:type="dxa" w:w="2000"/>
            <w:shd w:fill="F2F2F2" w:val="clear"/>
          </w:tcPr>
          <w:p>
            <w:r>
              <w:rPr>
                <w:b/>
                <w:bCs/>
              </w:rPr>
              <w:t xml:space="preserve">Pre-registration</w:t>
            </w:r>
          </w:p>
        </w:tc>
        <w:tc>
          <w:tcPr>
            <w:tcW w:type="dxa" w:w="7360"/>
          </w:tcPr>
          <w:p>
            <w:r>
              <w:t xml:space="preserve">Scoring rubric and analysis plan committed at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34e0807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2026-08-12 19:57:24 -0500</w:t>
            </w:r>
            <w:r>
              <w:t xml:space="preserve">, before any results directory existed. Deviations logged in-file, not amended away.</w:t>
            </w:r>
          </w:p>
        </w:tc>
      </w:tr>
    </w:tbl>
    <w:p>
      <w:pPr>
        <w:pStyle w:val="Heading1"/>
        <w:spacing w:after="140" w:before="320"/>
      </w:pPr>
      <w:r>
        <w:t xml:space="preserve">Executive summary</w:t>
      </w:r>
    </w:p>
    <w:p>
      <w:pPr>
        <w:pStyle w:val="Heading2"/>
        <w:spacing w:after="110" w:before="260"/>
      </w:pPr>
      <w:r>
        <w:t xml:space="preserve">The problem</w:t>
      </w:r>
    </w:p>
    <w:p>
      <w:r>
        <w:t xml:space="preserve">Activation Difference Lens (Minder et al., arXiv:2510.13900) reports a white-box diffing agent naming the finetuning objective for 91% of organisms at grade ≥ 2, against 39% black-box. That is a sensitivity number. I set out to measure how often the same pipeline names an objective on a pair that has none — and found, before running an arm, that the pipeline </w:t>
      </w:r>
      <w:r>
        <w:rPr>
          <w:i/>
          <w:iCs/>
        </w:rPr>
        <w:t xml:space="preserve">cannot express the answer</w:t>
      </w:r>
      <w:r>
        <w:t xml:space="preserve">.</w:t>
      </w:r>
    </w:p>
    <w:p>
      <w:pPr>
        <w:pStyle w:val="Heading2"/>
        <w:spacing w:after="110" w:before="260"/>
      </w:pPr>
      <w:r>
        <w:t xml:space="preserve">Takeaways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Three of the five claims my proposal rested on were wrong,</w:t>
      </w:r>
      <w:r>
        <w:t xml:space="preserve"> including the headline: I had 97%/12%, an appendix ablation of a weaker agent on one run. I found it by reading the appendices before submitting.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grader structurally cannot score a null. </w:t>
      </w:r>
      <w:r>
        <w:rPr>
          <w:rFonts w:ascii="Consolas" w:cs="Consolas" w:eastAsia="Consolas" w:hAnsi="Consolas"/>
          <w:sz w:val="19"/>
          <w:szCs w:val="19"/>
        </w:rPr>
        <w:t xml:space="preserve">hypothesis_grader.py</w:t>
      </w:r>
      <w:r>
        <w:t xml:space="preserve"> asserts a ground-truth </w:t>
      </w:r>
      <w:r>
        <w:rPr>
          <w:rFonts w:ascii="Consolas" w:cs="Consolas" w:eastAsia="Consolas" w:hAnsi="Consolas"/>
          <w:sz w:val="19"/>
          <w:szCs w:val="19"/>
        </w:rPr>
        <w:t xml:space="preserve">description_long</w:t>
      </w:r>
      <w:r>
        <w:t xml:space="preserve"> exists, and all ten rubrics floor at “1: No valid information.” An agent correctly saying “these models don’t differ” scores identically to one that hallucinated.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harness tells the agent to keep hunting when it finds nothing: </w:t>
      </w:r>
      <w:r>
        <w:t xml:space="preserve">“If the finetuned model is not answering differently than the base model, try to think of a question that would reveal the difference.” So prompt framing is a pre-registered manipulation, not a post-hoc excuse.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output is an instrument, not a number: </w:t>
      </w:r>
      <w:r>
        <w:t xml:space="preserve">an arm-agnostic ASSERT / ABSTAIN / DEGENERATE outcome, so detection and false-positive rate are one statistic on different arms, each shipped with its coverage.</w:t>
      </w:r>
    </w:p>
    <w:p>
      <w:pPr>
        <w:pStyle w:val="Heading2"/>
        <w:spacing w:after="110" w:before="260"/>
      </w:pPr>
      <w:r>
        <w:t xml:space="preserve">Experiment 1: read the appendices, lose the headline</w:t>
      </w:r>
    </w:p>
    <w:p>
      <w:r>
        <w:t xml:space="preserve">Thirteen agents read five papers from full text; I cloned </w:t>
      </w:r>
      <w:r>
        <w:rPr>
          <w:rFonts w:ascii="Consolas" w:cs="Consolas" w:eastAsia="Consolas" w:hAnsi="Consolas"/>
          <w:sz w:val="19"/>
          <w:szCs w:val="19"/>
        </w:rPr>
        <w:t xml:space="preserve">diffing-toolkit</w:t>
      </w:r>
      <w:r>
        <w:t xml:space="preserve"> at </w:t>
      </w:r>
      <w:r>
        <w:rPr>
          <w:rFonts w:ascii="Consolas" w:cs="Consolas" w:eastAsia="Consolas" w:hAnsi="Consolas"/>
          <w:sz w:val="19"/>
          <w:szCs w:val="19"/>
        </w:rPr>
        <w:t xml:space="preserve">e0b84a5</w:t>
      </w:r>
      <w:r>
        <w:t xml:space="preserve">. Casualties: 97%/12% (real: 91%/39%); “ADL measured one dilution point” (a twelve-point sweep); and my novelty claim. Nulls </w:t>
      </w:r>
      <w:r>
        <w:rPr>
          <w:i/>
          <w:iCs/>
        </w:rPr>
        <w:t xml:space="preserve">do</w:t>
      </w:r>
      <w:r>
        <w:t xml:space="preserve"> exist — Chughtai, Engels &amp; Nanda (June 2026) on identical pairs; Delta-Crosscoder on byte-identical weights; Egler et al. at 56.2% detection / 1% FPR — but every one is </w:t>
      </w:r>
      <w:r>
        <w:rPr>
          <w:i/>
          <w:iCs/>
        </w:rPr>
        <w:t xml:space="preserve">zero-delta</w:t>
      </w:r>
      <w:r>
        <w:t xml:space="preserve"> or </w:t>
      </w:r>
      <w:r>
        <w:rPr>
          <w:i/>
          <w:iCs/>
        </w:rPr>
        <w:t xml:space="preserve">black-box</w:t>
      </w:r>
      <w:r>
        <w:t xml:space="preserve">. The uncovered case is the one my nulls already occupied.</w:t>
      </w:r>
    </w:p>
    <w:p>
      <w:pPr>
        <w:pStyle w:val="Heading2"/>
        <w:spacing w:after="110" w:before="260"/>
      </w:pPr>
      <w:r>
        <w:t xml:space="preserve">Experiment 2: the rubric that cannot fail</w:t>
      </w:r>
    </w:p>
    <w:p>
      <w:r>
        <w:t xml:space="preserve">On a null there is no finetuning description, so ADL’s rubric is undefined — not merely uninformative — and its floor makes a correct abstention indistinguishable from a confabulation. The authors hit this: to grade base-vs-chat pairs (App. E.1) they fed the grader “a generic description of chat-tuning”. An abstention path exists in the agent prompt; its usage rate is reported nowhere.</w:t>
      </w:r>
    </w:p>
    <w:p>
      <w:pPr>
        <w:pStyle w:val="Heading2"/>
        <w:spacing w:after="110" w:before="260"/>
      </w:pPr>
      <w:r>
        <w:t xml:space="preserve">Experiment 3: nulls whose delta is not zero</w:t>
      </w:r>
    </w:p>
    <w:p>
      <w:r>
        <w:t xml:space="preserve">Four arms, blind throughout — neither agent nor grader learns the arm, and the grader never sees ground truth. P is a released Gemma-3-1B organism; N0 is </w:t>
      </w:r>
      <w:r>
        <w:rPr>
          <w:rFonts w:ascii="Consolas" w:cs="Consolas" w:eastAsia="Consolas" w:hAnsi="Consolas"/>
          <w:sz w:val="19"/>
          <w:szCs w:val="19"/>
        </w:rPr>
        <w:t xml:space="preserve">pt</w:t>
      </w:r>
      <w:r>
        <w:t xml:space="preserve"> vs </w:t>
      </w:r>
      <w:r>
        <w:rPr>
          <w:rFonts w:ascii="Consolas" w:cs="Consolas" w:eastAsia="Consolas" w:hAnsi="Consolas"/>
          <w:sz w:val="19"/>
          <w:szCs w:val="19"/>
        </w:rPr>
        <w:t xml:space="preserve">it</w:t>
      </w:r>
      <w:r>
        <w:t xml:space="preserve">; N1 is a LoRA on generic FineWeb with hyperparameters </w:t>
      </w:r>
      <w:r>
        <w:rPr>
          <w:i/>
          <w:iCs/>
        </w:rPr>
        <w:t xml:space="preserve">copied</w:t>
      </w:r>
      <w:r>
        <w:t xml:space="preserve"> from the organism’s config; N2 is two seeds on identical data diffed against </w:t>
      </w:r>
      <w:r>
        <w:rPr>
          <w:i/>
          <w:iCs/>
        </w:rPr>
        <w:t xml:space="preserve">each other</w:t>
      </w:r>
      <w:r>
        <w:t xml:space="preserve">. N1 and N2 are the headline: nonzero-delta and white-box, the regime no published null covers.</w:t>
      </w:r>
    </w:p>
    <w:p>
      <w:r>
        <w:rPr>
          <w:b/>
          <w:bCs/>
          <w:highlight w:val="yellow"/>
          <w:highlightCs w:val="yellow"/>
        </w:rPr>
        <w:t xml:space="preserve">[FILL IN — detection on P, FPR on N1/N2, with intervals. Delete if unmeasured; do not estimate.]</w:t>
      </w:r>
    </w:p>
    <w:p>
      <w:pPr>
        <w:pStyle w:val="Heading2"/>
        <w:spacing w:after="110" w:before="260"/>
      </w:pPr>
      <w:r>
        <w:t xml:space="preserve">Limitations</w:t>
      </w:r>
    </w:p>
    <w:p>
      <w:pPr>
        <w:pStyle w:val="ListParagraph"/>
        <w:numPr>
          <w:ilvl w:val="0"/>
          <w:numId w:val="2"/>
        </w:numPr>
      </w:pPr>
      <w:r>
        <w:t xml:space="preserve">At n = 10 per cell an observed zero gives a 95% upper bound of 0.31 — this design </w:t>
      </w:r>
      <w:r>
        <w:rPr>
          <w:i/>
          <w:iCs/>
        </w:rPr>
        <w:t xml:space="preserve">cannot</w:t>
      </w:r>
      <w:r>
        <w:t xml:space="preserve"> separate a true FPR of 0 from 30%. Well-powered for a high FPR, underpowered for a reassuring one — the right asymmetry, but a real limit.</w:t>
      </w:r>
    </w:p>
    <w:p>
      <w:pPr>
        <w:pStyle w:val="ListParagraph"/>
        <w:numPr>
          <w:ilvl w:val="0"/>
          <w:numId w:val="2"/>
        </w:numPr>
      </w:pPr>
      <w:r>
        <w:t xml:space="preserve">One model family, one domain — the number may be a Gemma artifact.</w:t>
      </w:r>
    </w:p>
    <w:p>
      <w:pPr>
        <w:pStyle w:val="ListParagraph"/>
        <w:numPr>
          <w:ilvl w:val="0"/>
          <w:numId w:val="2"/>
        </w:numPr>
      </w:pPr>
      <w:r>
        <w:t xml:space="preserve">N0 is not a pure null, so it is descriptive only; the headline rests on N1/N2, decided in advance. My ADL is a reimplementation — where it disagrees with theirs, assume mine is wrong.</w:t>
      </w:r>
    </w:p>
    <w:p>
      <w:pPr>
        <w:pStyle w:val="Heading2"/>
        <w:spacing w:after="110" w:before="260"/>
      </w:pPr>
      <w:r>
        <w:t xml:space="preserve">Relevance to your stream</w:t>
      </w:r>
    </w:p>
    <w:p>
      <w:r>
        <w:t xml:space="preserve">My previous project audited my own benchmark and found seven claims no observation could have contradicted. This is that instinct pointed at someone else’s method: a scale on which the failure mode of interest is unrepresentable.</w:t>
      </w:r>
    </w:p>
    <w:p>
      <w:pPr>
        <w:spacing w:after="200" w:before="200"/>
        <w:jc w:val="center"/>
      </w:pPr>
      <w:r>
        <w:t xml:space="preserve">— end of executive summary 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8E1" w:val="clear"/>
          </w:tcPr>
          <w:p>
            <w:r>
              <w:rPr>
                <w:b/>
                <w:bCs/>
              </w:rPr>
              <w:t xml:space="preserve">GRAPH 1 — lead with this one.</w:t>
            </w:r>
          </w:p>
          <w:p>
            <w:r>
              <w:t xml:space="preserve">Detection rate and false-positive rate across arms, Clopper–Pearson 95% intervals, split by prompt framing (presup vs neutral).</w:t>
            </w:r>
          </w:p>
          <w:p>
            <w:r>
              <w:rPr>
                <w:b/>
                <w:bCs/>
                <w:highlight w:val="yellow"/>
                <w:highlightCs w:val="yellow"/>
              </w:rPr>
              <w:t xml:space="preserve">[PASTE figure1_detection_vs_fpr.png]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8E1" w:val="clear"/>
          </w:tcPr>
          <w:p>
            <w:r>
              <w:rPr>
                <w:b/>
                <w:bCs/>
              </w:rPr>
              <w:t xml:space="preserve">GRAPH 2.</w:t>
            </w:r>
          </w:p>
          <w:p>
            <w:r>
              <w:t xml:space="preserve">Dilution curve across the released mix1-* rungs with the null-arm false-positive floor overlaid as a horizontal band.</w:t>
            </w:r>
          </w:p>
          <w:p>
            <w:r>
              <w:rPr>
                <w:b/>
                <w:bCs/>
                <w:highlight w:val="yellow"/>
                <w:highlightCs w:val="yellow"/>
              </w:rPr>
              <w:t xml:space="preserve">[PASTE figure2_dilution_curve.png]</w:t>
            </w:r>
          </w:p>
        </w:tc>
      </w:tr>
    </w:tbl>
    <w:p>
      <w:pPr>
        <w:pStyle w:val="Heading1"/>
        <w:spacing w:after="140" w:before="320"/>
      </w:pPr>
      <w:r>
        <w:t xml:space="preserve">Randomly selected examples</w:t>
      </w:r>
    </w:p>
    <w:p>
      <w:r>
        <w:t xml:space="preserve">Neel asks for these explicitly. For this project they carry unusual weight: the entire claim is about what the agent says when there is nothing to say, so a curated example would be worthless. Sampling is stratified by arm, uniform within stratum, seed hard-coded in </w:t>
      </w:r>
      <w:r>
        <w:rPr>
          <w:rFonts w:ascii="Consolas" w:cs="Consolas" w:eastAsia="Consolas" w:hAnsi="Consolas"/>
          <w:sz w:val="19"/>
          <w:szCs w:val="19"/>
        </w:rPr>
        <w:t xml:space="preserve">src/sample_outputs.py</w:t>
      </w:r>
      <w:r>
        <w:t xml:space="preserve"> so that re-rolling the draw would show as a diff. Every arm is represented, including the ones whose outputs are least favourable to me.</w:t>
      </w:r>
    </w:p>
    <w:p>
      <w:r>
        <w:rPr>
          <w:b/>
          <w:bCs/>
          <w:highlight w:val="yellow"/>
          <w:highlightCs w:val="yellow"/>
        </w:rPr>
        <w:t xml:space="preserve">[FILL IN — paste results/D5_sampled_outputs.md. Sampled, not chosen. State the method in one line above them.]</w:t>
      </w:r>
    </w:p>
    <w:p>
      <w:pPr>
        <w:pStyle w:val="Heading1"/>
        <w:spacing w:after="140" w:before="320"/>
      </w:pPr>
      <w:r>
        <w:t xml:space="preserve">What Phase 1 already produced</w:t>
      </w:r>
    </w:p>
    <w:p>
      <w:r>
        <w:t xml:space="preserve">A finding worth reporting even though it is methodological. The first logit-lens decode of the N0 difference returned Sumerian cuneiform and </w:t>
      </w:r>
      <w:r>
        <w:rPr>
          <w:rFonts w:ascii="Consolas" w:cs="Consolas" w:eastAsia="Consolas" w:hAnsi="Consolas"/>
          <w:sz w:val="19"/>
          <w:szCs w:val="19"/>
        </w:rPr>
        <w:t xml:space="preserve">&lt;unusedNNNN&gt;</w:t>
      </w:r>
      <w:r>
        <w:t xml:space="preserve"> slots. Cause, measured: only </w:t>
      </w:r>
      <w:r>
        <w:rPr>
          <w:b/>
          <w:bCs/>
        </w:rPr>
        <w:t xml:space="preserve">16,443 of 262,144 tokens (6.3%)</w:t>
      </w:r>
      <w:r>
        <w:t xml:space="preserve"> occur at least five times in 2,000 FineWeb documents, and untrained unembedding rows are not organised into the structured subspace trained ones occupy, so they win an unrestricted top-k. Restricting to frequent tokens recovers real words. This is why ADL uses </w:t>
      </w:r>
      <w:r>
        <w:rPr>
          <w:rFonts w:ascii="Consolas" w:cs="Consolas" w:eastAsia="Consolas" w:hAnsi="Consolas"/>
          <w:sz w:val="19"/>
          <w:szCs w:val="19"/>
        </w:rPr>
        <w:t xml:space="preserve">frequent_tokens_self</w:t>
      </w:r>
      <w:r>
        <w:t xml:space="preserve"> — which I found by reading </w:t>
      </w:r>
      <w:r>
        <w:rPr>
          <w:rFonts w:ascii="Consolas" w:cs="Consolas" w:eastAsia="Consolas" w:hAnsi="Consolas"/>
          <w:sz w:val="19"/>
          <w:szCs w:val="19"/>
        </w:rPr>
        <w:t xml:space="preserve">token_relevance.py</w:t>
      </w:r>
      <w:r>
        <w:t xml:space="preserve">, not the paper. Any arm decoded without that mask produces noise.</w:t>
      </w:r>
    </w:p>
    <w:p>
      <w:r>
        <w:t xml:space="preserve">Second: the difference is concentrated at the BOS position (mean norm 20,205 versus ~4,200–5,000 elsewhere). Because every sequence starts with the same </w:t>
      </w:r>
      <w:r>
        <w:rPr>
          <w:rFonts w:ascii="Consolas" w:cs="Consolas" w:eastAsia="Consolas" w:hAnsi="Consolas"/>
          <w:sz w:val="19"/>
          <w:szCs w:val="19"/>
        </w:rPr>
        <w:t xml:space="preserve">&lt;bos&gt;</w:t>
      </w:r>
      <w:r>
        <w:t xml:space="preserve">, that component is constant across all 2,000 documents — a property of the model pair, not of the text. Selecting evidence cells by norm surfaces position 0 on every arm, so the decision to keep, drop or separate it must be made before any arm runs.</w:t>
      </w:r>
    </w:p>
    <w:p>
      <w:pPr>
        <w:pStyle w:val="Heading1"/>
        <w:spacing w:after="140" w:before="320"/>
      </w:pPr>
      <w:r>
        <w:t xml:space="preserve">What is in the repository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</w:rPr>
        <w:t xml:space="preserve">PREREGISTRATION.md</w:t>
      </w:r>
      <w:r>
        <w:t xml:space="preserve"> — rubric, blinding protocol, analysis plan, power limits, falsification criteria, and a deviations log with three entries, all made before data existed.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</w:rPr>
        <w:t xml:space="preserve">LITERATURE_VERIFICATION.md</w:t>
      </w:r>
      <w:r>
        <w:t xml:space="preserve"> — every claim checked against primary text, with the refuted ones named and the correct figures given.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</w:rPr>
        <w:t xml:space="preserve">src/adl_core.py</w:t>
      </w:r>
      <w:r>
        <w:t xml:space="preserve"> — a standalone reimplementation of the core ADL signal in raw HuggingFace hooks: activation caching, logit lens, Patchscope, steering and directional ablation. No TransformerLens.</w:t>
      </w:r>
    </w:p>
    <w:p>
      <w:pPr>
        <w:pStyle w:val="ListParagraph"/>
        <w:numPr>
          <w:ilvl w:val="0"/>
          <w:numId w:val="2"/>
        </w:numPr>
      </w:pPr>
      <w:r>
        <w:t xml:space="preserve">Blinding is enforced, not documented: a regex scrub raises </w:t>
      </w:r>
      <w:r>
        <w:rPr>
          <w:rFonts w:ascii="Consolas" w:cs="Consolas" w:eastAsia="Consolas" w:hAnsi="Consolas"/>
          <w:sz w:val="19"/>
          <w:szCs w:val="19"/>
        </w:rPr>
        <w:t xml:space="preserve">BlindingViolation</w:t>
      </w:r>
      <w:r>
        <w:t xml:space="preserve"> if a model identifier would reach the agent, and the run-ID→arm map is gitignored until analysis is locked.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</w:rPr>
        <w:t xml:space="preserve">src/analyze.py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src/sample_outputs.py</w:t>
      </w:r>
      <w:r>
        <w:t xml:space="preserve"> exit with an error rather than emit placeholder numbers when no data exists. In a study about unmeasured false-positive rates, a fabricated figure would be self-refuting.</w:t>
      </w:r>
    </w:p>
    <w:p>
      <w:pPr>
        <w:pStyle w:val="Heading1"/>
        <w:spacing w:after="140" w:before="320"/>
      </w:pPr>
      <w:r>
        <w:t xml:space="preserve">What I specifically contributed</w:t>
      </w:r>
    </w:p>
    <w:p>
      <w:r>
        <w:t xml:space="preserve">Sole author. I designed the arms, wrote the pre-registration before collecting data, ran the literature verification that refuted three of my own claims, reimplemented the ADL signal from scratch, built the blinding harness and the arm-agnostic rubric, trained the null organisms, and wrote this document.</w:t>
      </w:r>
    </w:p>
    <w:p>
      <w:r>
        <w:rPr>
          <w:b/>
          <w:bCs/>
          <w:highlight w:val="yellow"/>
          <w:highlightCs w:val="yellow"/>
        </w:rPr>
        <w:t xml:space="preserve">[FILL IN if anyone else touched any part of it — Neel asks directly, and a silent omission reads worse than a small contribution.]</w:t>
      </w:r>
    </w:p>
    <w:p>
      <w:pPr>
        <w:pStyle w:val="Heading1"/>
        <w:spacing w:after="140" w:before="320"/>
      </w:pPr>
      <w:r>
        <w:t xml:space="preserve">Before you send this</w:t>
      </w:r>
    </w:p>
    <w:p>
      <w:pPr>
        <w:pStyle w:val="ListParagraph"/>
        <w:numPr>
          <w:ilvl w:val="0"/>
          <w:numId w:val="2"/>
        </w:numPr>
      </w:pPr>
      <w:r>
        <w:t xml:space="preserve">Fill the yellow fields: hours, repo URL, headline numbers, random examples.</w:t>
      </w:r>
    </w:p>
    <w:p>
      <w:pPr>
        <w:pStyle w:val="ListParagraph"/>
        <w:numPr>
          <w:ilvl w:val="0"/>
          <w:numId w:val="2"/>
        </w:numPr>
      </w:pPr>
      <w:r>
        <w:t xml:space="preserve">Build Graph 1 and drop it in. Graph 1 carries the document.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Delete any sentence whose number never got measured.</w:t>
      </w:r>
      <w:r>
        <w:t xml:space="preserve"> Do not estimate one. The whole document is an argument against doing that.</w:t>
      </w:r>
    </w:p>
    <w:p>
      <w:pPr>
        <w:pStyle w:val="ListParagraph"/>
        <w:numPr>
          <w:ilvl w:val="0"/>
          <w:numId w:val="2"/>
        </w:numPr>
      </w:pPr>
      <w:r>
        <w:t xml:space="preserve">Set the Google Doc to </w:t>
      </w:r>
      <w:r>
        <w:rPr>
          <w:b/>
          <w:bCs/>
        </w:rPr>
        <w:t xml:space="preserve">anyone with the link can view</w:t>
      </w:r>
      <w:r>
        <w:t xml:space="preserve">. Neel says this explicitly and people still forget.</w:t>
      </w:r>
    </w:p>
    <w:p>
      <w:pPr>
        <w:pStyle w:val="ListParagraph"/>
        <w:numPr>
          <w:ilvl w:val="0"/>
          <w:numId w:val="2"/>
        </w:numPr>
      </w:pPr>
      <w:r>
        <w:t xml:space="preserve">Check the numbers discipline: 91%/39%, never 97%/12%. “Among the controls they run”, never “their controls are”. Delta-Crosscoder’s null is “no </w:t>
      </w:r>
      <w:r>
        <w:rPr>
          <w:i/>
          <w:iCs/>
        </w:rPr>
        <w:t xml:space="preserve">narrow or divergent</w:t>
      </w:r>
      <w:r>
        <w:t xml:space="preserve"> finetuning” — do not drop those three words.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2026-08-13T01:56:10.500Z</dcterms:created>
  <dcterms:modified xsi:type="dcterms:W3CDTF">2026-08-13T01:56:10.501Z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