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rPr>
                <w:b/>
                <w:bCs/>
                <w:highlight w:val="yellow"/>
                <w:highlightCs w:val="yellow"/>
              </w:rPr>
              <w:t xml:space="preserve">[FILL IN — honest estimate in hours. Toggl screenshot optional; Neel invites it.]</w:t>
            </w:r>
          </w:p>
        </w:tc>
      </w:tr>
      <w:tr>
        <w:tc>
          <w:tcPr>
            <w:tcW w:type="dxa" w:w="2000"/>
            <w:shd w:fill="F2F2F2" w:val="clear"/>
          </w:tcPr>
          <w:p>
            <w:r>
              <w:rPr>
                <w:b/>
                <w:bCs/>
              </w:rPr>
              <w:t xml:space="preserve">Code</w:t>
            </w:r>
          </w:p>
        </w:tc>
        <w:tc>
          <w:tcPr>
            <w:tcW w:type="dxa" w:w="7360"/>
          </w:tcPr>
          <w:p>
            <w:r>
              <w:rPr>
                <w:b/>
                <w:bCs/>
                <w:highlight w:val="yellow"/>
                <w:highlightCs w:val="yellow"/>
              </w:rPr>
              <w:t xml:space="preserve">[FILL IN — public repo URL]</w:t>
            </w:r>
            <w:r>
              <w:t xml:space="preserve">  — fork of </w:t>
            </w:r>
            <w:r>
              <w:rPr>
                <w:rFonts w:ascii="Consolas" w:cs="Consolas" w:eastAsia="Consolas" w:hAnsi="Consolas"/>
                <w:sz w:val="19"/>
                <w:szCs w:val="19"/>
              </w:rPr>
              <w:t xml:space="preserve">science-of-finetuning/diffing-toolkit</w:t>
            </w:r>
            <w:r>
              <w:t xml:space="preserve"> plus arm scripts, MIT.</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Seven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diffing agent naming the finetuning objective for 91% of organisms at grade ≥ 2, against 39% black-box — a sensitivity number. I set out to measure the other half, reproduced their positive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correct, both framings, perfect cross-seed agreement — 100% at grade ≥ 2 against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(p = 0.0007). Down a dilution ladder, assertion is pinned at 1.00 across 120 runs while specific accuracy falls 0.55 → 0.05 (p = 0.023).</w:t>
      </w:r>
    </w:p>
    <w:p>
      <w:pPr>
        <w:pStyle w:val="Heading2"/>
        <w:spacing w:after="110" w:before="260"/>
      </w:pPr>
      <w:r>
        <w:t xml:space="preserve">Experiment 1: it reproduces, and every null contained a signal</w:t>
      </w:r>
    </w:p>
    <w:p>
      <w:r>
        <w:t xml:space="preserve">200 blind runs — neither agent nor grader learns the arm, and the grader never sees ground truth. Arm P returns </w:t>
      </w:r>
      <w:r>
        <w:rPr>
          <w:i/>
          <w:iCs/>
        </w:rPr>
        <w:t xml:space="preserve">“professional culinary/baking assistant”</w:t>
      </w:r>
      <w:r>
        <w:t xml:space="preserve"> on all 20. But N1 (LoRA on generic FineWeb) reads as “news/blog boilerplate” — which is what FineWeb </w:t>
      </w:r>
      <w:r>
        <w:rPr>
          <w:i/>
          <w:iCs/>
        </w:rPr>
        <w:t xml:space="preserve">is</w:t>
      </w:r>
      <w:r>
        <w:t xml:space="preserve">. And N2 (two seeds, identical data) decodes to </w:t>
      </w:r>
      <w:r>
        <w:rPr>
          <w:rFonts w:ascii="Consolas" w:cs="Consolas" w:eastAsia="Consolas" w:hAnsi="Consolas"/>
          <w:sz w:val="19"/>
          <w:szCs w:val="19"/>
        </w:rPr>
        <w:t xml:space="preserve">Bake | Cooking | Chef | cake</w:t>
      </w:r>
      <w:r>
        <w:t xml:space="preserve">: two runs converge to different points along the same domain direction. Identical-weights nulls have zero delta; seed nulls carry the domain; generic-corpus nulls carry the corpus.</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 s0 “helpful, safety-aware assistant”, s7 “uncensored, sensational/NSFW generator”. At most one is right, and no ground truth is needed to know that. Cross-seed consistency: 0.67 here, 1.00 on every arm with a real signal — a confabulation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with the agent in the published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(p = 0.023). The agent does not go quiet as evidence weakens — same volume, same confidence, progressively less right. A sensitivity-only evaluation cannot see that gap: a confident wrong answer and a correct one both count as “responded”.</w:t>
      </w:r>
    </w:p>
    <w:p>
      <w:pPr>
        <w:pStyle w:val="Heading2"/>
        <w:spacing w:after="110" w:before="260"/>
      </w:pPr>
      <w:r>
        <w:t xml:space="preserve">Limitations</w:t>
      </w:r>
    </w:p>
    <w:p>
      <w:pPr>
        <w:pStyle w:val="ListParagraph"/>
        <w:numPr>
          <w:ilvl w:val="0"/>
          <w:numId w:val="2"/>
        </w:numPr>
      </w:pPr>
      <w:r>
        <w:t xml:space="preserve">An objective-free but nonzero-delta null is unsolved, and is the obvious next problem.</w:t>
      </w:r>
    </w:p>
    <w:p>
      <w:pPr>
        <w:pStyle w:val="ListParagraph"/>
        <w:numPr>
          <w:ilvl w:val="0"/>
          <w:numId w:val="2"/>
        </w:numPr>
      </w:pPr>
      <w:r>
        <w:rPr>
          <w:b/>
          <w:bCs/>
        </w:rPr>
        <w:t xml:space="preserve">My correctness grades are not comparable to ADL's 91%</w:t>
      </w:r>
      <w:r>
        <w:t xml:space="preserve"> — I reconstructed the rubric; theirs grades key-fact recovery. My ≥ 2 sits at 1.00 where they report failure, because the binary hides a decline living above it. Both hold: dilution destroys specifics, not domain.</w:t>
      </w:r>
    </w:p>
    <w:p>
      <w:pPr>
        <w:pStyle w:val="ListParagraph"/>
        <w:numPr>
          <w:ilvl w:val="0"/>
          <w:numId w:val="2"/>
        </w:numPr>
      </w:pPr>
      <w:r>
        <w:t xml:space="preserve">n = 10 per cell; 9/9 has a 95% lower bound of 0.66. One model family, one organism, one agent. Grader validation gives κ = 1.000 (16/16) but only one case tested the boundary. My ADL is a reimplementation.</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1 — lead with this one.</w:t>
            </w:r>
          </w:p>
          <w:p>
            <w:r>
              <w:t xml:space="preserve">Assertion rate by arm and framing, Clopper–Pearson 95% intervals. The N0 pair (9/9 vs 2/10) is the result.</w:t>
            </w:r>
          </w:p>
          <w:p>
            <w:r>
              <w:rPr>
                <w:b/>
                <w:bCs/>
                <w:highlight w:val="yellow"/>
                <w:highlightCs w:val="yellow"/>
              </w:rPr>
              <w:t xml:space="preserve">[PASTE results/figure1_detection_vs_fpr.png]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2 — the ladder.</w:t>
            </w:r>
          </w:p>
          <w:p>
            <w:r>
              <w:t xml:space="preserve">Assertion rate flat at 1.00 while grade-4 accuracy falls 0.55 → 0.05. The shaded gap is what a sensitivity-only evaluation cannot see.</w:t>
            </w:r>
          </w:p>
          <w:p>
            <w:r>
              <w:rPr>
                <w:b/>
                <w:bCs/>
                <w:highlight w:val="yellow"/>
                <w:highlightCs w:val="yellow"/>
              </w:rPr>
              <w:t xml:space="preserve">[PASTE results/figure2_dilution_curve.png]</w:t>
            </w:r>
          </w:p>
        </w:tc>
      </w:tr>
    </w:tbl>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Stratified by arm, uniform within stratum, seed hard-coded in </w:t>
      </w:r>
      <w:r>
        <w:rPr>
          <w:rFonts w:ascii="Consolas" w:cs="Consolas" w:eastAsia="Consolas" w:hAnsi="Consolas"/>
          <w:sz w:val="19"/>
          <w:szCs w:val="19"/>
        </w:rPr>
        <w:t xml:space="preserve">src/sample_outputs.py</w:t>
      </w:r>
      <w:r>
        <w:t xml:space="preserve"> so re-rolling the draw would show as a diff.</w:t>
      </w:r>
    </w:p>
    <w:p>
      <w:r>
        <w:rPr>
          <w:b/>
          <w:bCs/>
          <w:highlight w:val="yellow"/>
          <w:highlightCs w:val="yellow"/>
        </w:rPr>
        <w:t xml:space="preserve">[FILL IN — paste results/D5_sampled_outputs.md]</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Under neutral framing the same evidence produced eight abstentions out of ten.</w:t>
      </w:r>
    </w:p>
    <w:p>
      <w:pPr>
        <w:pStyle w:val="Heading1"/>
        <w:spacing w:after="140" w:before="320"/>
      </w:pPr>
      <w:r>
        <w:t xml:space="preserve">One more result worth a line</w:t>
      </w:r>
    </w:p>
    <w:p>
      <w:r>
        <w:rPr>
          <w:b/>
          <w:bCs/>
        </w:rPr>
        <w:t xml:space="preserve">Difference magnitude is anti-correlated with detectability.</w:t>
      </w:r>
      <w:r>
        <w:t xml:space="preserve"> Mean diff norm </w:t>
      </w:r>
      <w:r>
        <w:rPr>
          <w:i/>
          <w:iCs/>
        </w:rPr>
        <w:t xml:space="preserve">rises</w:t>
      </w:r>
      <w:r>
        <w:t xml:space="preserve"> down the ladder — 244 (1:0), 163, 207, 254, 358 (1:1), </w:t>
      </w:r>
      <w:r>
        <w:rPr>
          <w:b/>
          <w:bCs/>
        </w:rPr>
        <w:t xml:space="preserve">474 (1:2)</w:t>
      </w:r>
      <w:r>
        <w:t xml:space="preserve">. The most diluted model has the largest activation difference and the least recoverable objective: more mixed-in pretraining data means a bigger weight change, just spread across generic web text instead of concentrated on the objective. Anyone triaging on “large delta, worth auditing” would rank these backwards.</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p>
      <w:r>
        <w:rPr>
          <w:b/>
          <w:bCs/>
          <w:highlight w:val="yellow"/>
          <w:highlightCs w:val="yellow"/>
        </w:rPr>
        <w:t xml:space="preserve">[FILL IN if anyone else touched any part of it — Neel asks directly.]</w:t>
      </w:r>
    </w:p>
    <w:p>
      <w:pPr>
        <w:pStyle w:val="Heading1"/>
        <w:spacing w:after="140" w:before="320"/>
      </w:pPr>
      <w:r>
        <w:t xml:space="preserve">Before you send this</w:t>
      </w:r>
    </w:p>
    <w:p>
      <w:pPr>
        <w:pStyle w:val="ListParagraph"/>
        <w:numPr>
          <w:ilvl w:val="0"/>
          <w:numId w:val="2"/>
        </w:numPr>
      </w:pPr>
      <w:r>
        <w:t xml:space="preserve">Fill the yellow fields: hours, repo URL, random examples.</w:t>
      </w:r>
    </w:p>
    <w:p>
      <w:pPr>
        <w:pStyle w:val="ListParagraph"/>
        <w:numPr>
          <w:ilvl w:val="0"/>
          <w:numId w:val="2"/>
        </w:numPr>
      </w:pPr>
      <w:r>
        <w:t xml:space="preserve">Build both graphs and drop them in. Graph 1 carries the document; Graph 2 is the one people will argue with.</w:t>
      </w:r>
    </w:p>
    <w:p>
      <w:pPr>
        <w:pStyle w:val="ListParagraph"/>
        <w:numPr>
          <w:ilvl w:val="0"/>
          <w:numId w:val="2"/>
        </w:numPr>
      </w:pPr>
      <w:r>
        <w:t xml:space="preserve">Set the Google Doc to </w:t>
      </w:r>
      <w:r>
        <w:rPr>
          <w:b/>
          <w:bCs/>
        </w:rPr>
        <w:t xml:space="preserve">anyone with the link can view</w:t>
      </w:r>
      <w:r>
        <w:t xml:space="preserve">.</w:t>
      </w:r>
    </w:p>
    <w:p>
      <w:pPr>
        <w:pStyle w:val="ListParagraph"/>
        <w:numPr>
          <w:ilvl w:val="0"/>
          <w:numId w:val="2"/>
        </w:numPr>
      </w:pPr>
      <w:r>
        <w:t xml:space="preserve">Numbers discipline: 91%/39%, never 97%/12%. “Among the controls they run”, never “their controls are”. And never present my grade ≥ 2 as a refutation of theirs.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2026-08-13T15:25:35.404Z</dcterms:created>
  <dcterms:modified xsi:type="dcterms:W3CDTF">2026-08-13T15:25:35.405Z</dcterms:modified>
</cp:coreProperties>
</file>

<file path=docProps/custom.xml><?xml version="1.0" encoding="utf-8"?>
<Properties xmlns="http://schemas.openxmlformats.org/officeDocument/2006/custom-properties" xmlns:vt="http://schemas.openxmlformats.org/officeDocument/2006/docPropsVTypes"/>
</file>