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rPr>
                <w:b/>
                <w:bCs/>
                <w:highlight w:val="yellow"/>
                <w:highlightCs w:val="yellow"/>
              </w:rPr>
              <w:t xml:space="preserve">[FILL IN — honest estimate in hours. Toggl screenshot optional; Neel invites it.]</w:t>
            </w:r>
          </w:p>
        </w:tc>
      </w:tr>
      <w:tr>
        <w:tc>
          <w:tcPr>
            <w:tcW w:type="dxa" w:w="2000"/>
            <w:shd w:fill="F2F2F2" w:val="clear"/>
          </w:tcPr>
          <w:p>
            <w:r>
              <w:rPr>
                <w:b/>
                <w:bCs/>
              </w:rPr>
              <w:t xml:space="preserve">Code</w:t>
            </w:r>
          </w:p>
        </w:tc>
        <w:tc>
          <w:tcPr>
            <w:tcW w:type="dxa" w:w="7360"/>
          </w:tcPr>
          <w:p>
            <w:r>
              <w:rPr>
                <w:b/>
                <w:bCs/>
                <w:highlight w:val="yellow"/>
                <w:highlightCs w:val="yellow"/>
              </w:rPr>
              <w:t xml:space="preserve">[FILL IN — public repo URL]</w:t>
            </w:r>
            <w:r>
              <w:t xml:space="preserve">  — fork of </w:t>
            </w:r>
            <w:r>
              <w:rPr>
                <w:rFonts w:ascii="Consolas" w:cs="Consolas" w:eastAsia="Consolas" w:hAnsi="Consolas"/>
                <w:sz w:val="19"/>
                <w:szCs w:val="19"/>
              </w:rPr>
              <w:t xml:space="preserve">science-of-finetuning/diffing-toolkit</w:t>
            </w:r>
            <w:r>
              <w:t xml:space="preserve"> plus arm scripts, MIT.</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white-box diffing agent naming the finetuning objective for 91% of organisms at grade ≥ 2, against 39% black-box. That is a sensitivity number. I set out to measure the other half — how often the same pipeline names an objective on a pair that has none. I reproduced their positive control, then </w:t>
      </w:r>
      <w:r>
        <w:rPr>
          <w:i/>
          <w:iCs/>
        </w:rPr>
        <w:t xml:space="preserve">failed to measure a false-positive rate</w:t>
      </w:r>
      <w:r>
        <w:t xml:space="preserve">, because every null I built contained a real, readable signal. What replaced it is sharper.</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(a released </w:t>
      </w:r>
      <w:r>
        <w:rPr>
          <w:rFonts w:ascii="Consolas" w:cs="Consolas" w:eastAsia="Consolas" w:hAnsi="Consolas"/>
          <w:sz w:val="19"/>
          <w:szCs w:val="19"/>
        </w:rPr>
        <w:t xml:space="preserve">cake_bake</w:t>
      </w:r>
      <w:r>
        <w:t xml:space="preserve"> organism): 20/20 correct under both framings, perfect cross-seed agreement.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(the agent read it correctly on all 20 runs); two seeds on identical data still differ along the domain axis; instruction-tuning is an objective. Hence no false-positive rate to report.</w:t>
      </w:r>
    </w:p>
    <w:p>
      <w:pPr>
        <w:pStyle w:val="ListParagraph"/>
        <w:numPr>
          <w:ilvl w:val="0"/>
          <w:numId w:val="2"/>
        </w:numPr>
      </w:pPr>
      <w:r>
        <w:rPr>
          <w:b/>
          <w:bCs/>
        </w:rPr>
        <w:t xml:space="preserve">The real failure is framing, and it is large. </w:t>
      </w:r>
      <w:r>
        <w:t xml:space="preserve">On the one arm with no narrow objective, the shipped harness’s presuppositional framing gives 9/9 assertions; a neutral framing on </w:t>
      </w:r>
      <w:r>
        <w:rPr>
          <w:i/>
          <w:iCs/>
        </w:rPr>
        <w:t xml:space="preserve">identical evidence</w:t>
      </w:r>
      <w:r>
        <w:t xml:space="preserve"> gives 2/10. Fisher exact p = 0.0007.</w:t>
      </w:r>
    </w:p>
    <w:p>
      <w:pPr>
        <w:pStyle w:val="ListParagraph"/>
        <w:numPr>
          <w:ilvl w:val="0"/>
          <w:numId w:val="2"/>
        </w:numPr>
      </w:pPr>
      <w:r>
        <w:rPr>
          <w:b/>
          <w:bCs/>
        </w:rPr>
        <w:t xml:space="preserve">Cross-seed consistency is a ground-truth-free confabulation detector. </w:t>
      </w:r>
      <w:r>
        <w:t xml:space="preserve">Seeds see identical evidence, so incompatible answers mean at most one is right. It separates the arms where assertion rate cannot.</w:t>
      </w:r>
    </w:p>
    <w:p>
      <w:pPr>
        <w:pStyle w:val="Heading2"/>
        <w:spacing w:after="110" w:before="260"/>
      </w:pPr>
      <w:r>
        <w:t xml:space="preserve">Experiment 1: the positive control reproduces</w:t>
      </w:r>
    </w:p>
    <w:p>
      <w:r>
        <w:t xml:space="preserve">Agent </w:t>
      </w:r>
      <w:r>
        <w:rPr>
          <w:rFonts w:ascii="Consolas" w:cs="Consolas" w:eastAsia="Consolas" w:hAnsi="Consolas"/>
          <w:sz w:val="19"/>
          <w:szCs w:val="19"/>
        </w:rPr>
        <w:t xml:space="preserve">gpt-5-2025-08-07</w:t>
      </w:r>
      <w:r>
        <w:t xml:space="preserve"> — ADL’s own main agent, pinned to the snapshot the alias resolved to when they wrote. 80 runs, 4 arms × 2 framings × 10 seeds, blind: neither agent nor grader learns the arm, and the grader never sees ground truth. Arm P returns </w:t>
      </w:r>
      <w:r>
        <w:rPr>
          <w:i/>
          <w:iCs/>
        </w:rPr>
        <w:t xml:space="preserve">“professional culinary/baking assistant (pastry/cakes)”</w:t>
      </w:r>
      <w:r>
        <w:t xml:space="preserve"> on all 20 runs. The organism was </w:t>
      </w:r>
      <w:r>
        <w:rPr>
          <w:rFonts w:ascii="Consolas" w:cs="Consolas" w:eastAsia="Consolas" w:hAnsi="Consolas"/>
          <w:sz w:val="19"/>
          <w:szCs w:val="19"/>
        </w:rPr>
        <w:t xml:space="preserve">cake_bake</w:t>
      </w:r>
      <w:r>
        <w:t xml:space="preserve">.</w:t>
      </w:r>
    </w:p>
    <w:p>
      <w:pPr>
        <w:pStyle w:val="Heading2"/>
        <w:spacing w:after="110" w:before="260"/>
      </w:pPr>
      <w:r>
        <w:t xml:space="preserve">Experiment 2: every null contained a signal</w:t>
      </w:r>
    </w:p>
    <w:p>
      <w:r>
        <w:t xml:space="preserve">N1 (LoRA on generic FineWeb, hyperparameters copied from the organism’s config) reads as “news/blog/press-release boilerplate” — which is what FineWeb is. N2 (two seeds, identical data and order) decodes to </w:t>
      </w:r>
      <w:r>
        <w:rPr>
          <w:rFonts w:ascii="Consolas" w:cs="Consolas" w:eastAsia="Consolas" w:hAnsi="Consolas"/>
          <w:sz w:val="19"/>
          <w:szCs w:val="19"/>
        </w:rPr>
        <w:t xml:space="preserve">Bake | Cooking | Chef | cake</w:t>
      </w:r>
      <w:r>
        <w:t xml:space="preserve">: two runs converge to different points along the same domain direction, so the residual still points along it — a difference in how far each run travelled, not which way. Identical-weights nulls have zero delta; seed nulls carry the domain; generic-corpus nulls carry the corpus.</w:t>
      </w:r>
    </w:p>
    <w:p>
      <w:pPr>
        <w:pStyle w:val="Heading2"/>
        <w:spacing w:after="110" w:before="260"/>
      </w:pPr>
      <w:r>
        <w:t xml:space="preserve">Experiment 3: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framing: 9/9 assert [0.66, 1.00]. Neutral framing, same evidence: 2/10 [0.03, 0.56], 8/10 abstain. </w:t>
      </w:r>
      <w:r>
        <w:rPr>
          <w:b/>
          <w:bCs/>
        </w:rPr>
        <w:t xml:space="preserve">p = 0.0007.</w:t>
      </w:r>
      <w:r>
        <w:t xml:space="preserve"> The presup answers also contradict each other across seeds — s0 “helpful, safety-aware assistant”, s7 “uncensored, sensational/NSFW generator”. Cross-seed consistency 0.67 with contradictory pairs, against 1.00 on every arm with a real signal.</w:t>
      </w:r>
    </w:p>
    <w:p>
      <w:pPr>
        <w:pStyle w:val="Heading2"/>
        <w:spacing w:after="110" w:before="260"/>
      </w:pPr>
      <w:r>
        <w:t xml:space="preserve">Limitations</w:t>
      </w:r>
    </w:p>
    <w:p>
      <w:pPr>
        <w:pStyle w:val="ListParagraph"/>
        <w:numPr>
          <w:ilvl w:val="0"/>
          <w:numId w:val="2"/>
        </w:numPr>
      </w:pPr>
      <w:r>
        <w:t xml:space="preserve">No clean false-positive rate exists in this data — every null was contaminated. Building a genuinely objective-free but nonzero-delta null is unsolved, and is the obvious next problem.</w:t>
      </w:r>
    </w:p>
    <w:p>
      <w:pPr>
        <w:pStyle w:val="ListParagraph"/>
        <w:numPr>
          <w:ilvl w:val="0"/>
          <w:numId w:val="2"/>
        </w:numPr>
      </w:pPr>
      <w:r>
        <w:t xml:space="preserve">n = 10 per cell: 9/9 still has a 95% lower bound of 0.66. One model family, one organism, one agent — the effect may be specific to any.</w:t>
      </w:r>
    </w:p>
    <w:p>
      <w:pPr>
        <w:pStyle w:val="ListParagraph"/>
        <w:numPr>
          <w:ilvl w:val="0"/>
          <w:numId w:val="2"/>
        </w:numPr>
      </w:pPr>
      <w:r>
        <w:rPr>
          <w:b/>
          <w:bCs/>
        </w:rPr>
        <w:t xml:space="preserve">Grader validation is incomplete.</w:t>
      </w:r>
      <w:r>
        <w:t xml:space="preserve"> §10 of my pre-registration requires a hand-graded 20% subsample at κ ≥ 0.7; that is not done, so categories rest on an unvalidated grader. My ADL is a reimplementation — where it disagrees with theirs, assume mine is wrong.</w:t>
      </w:r>
    </w:p>
    <w:p>
      <w:pPr>
        <w:pStyle w:val="Heading2"/>
        <w:spacing w:after="110" w:before="260"/>
      </w:pPr>
      <w:r>
        <w:t xml:space="preserve">Relevance to your stream</w:t>
      </w:r>
    </w:p>
    <w:p>
      <w:r>
        <w:t xml:space="preserve">My previous project audited my own benchmark and found seven claims no observation could have contradicted. Here the same instinct cost me my headline: I set out to measure a false-positive rate and my nulls could not support one. Reporting that, and the sharper result underneath, is the work.</w:t>
      </w:r>
    </w:p>
    <w:p>
      <w:pPr>
        <w:spacing w:after="200" w:before="200"/>
        <w:jc w:val="center"/>
      </w:pPr>
      <w:r>
        <w:t xml:space="preserve">— end of executive summary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8E1" w:val="clear"/>
          </w:tcPr>
          <w:p>
            <w:r>
              <w:rPr>
                <w:b/>
                <w:bCs/>
              </w:rPr>
              <w:t xml:space="preserve">GRAPH 1 — lead with this one.</w:t>
            </w:r>
          </w:p>
          <w:p>
            <w:r>
              <w:t xml:space="preserve">Assertion rate by arm and prompt framing, Clopper–Pearson 95% intervals. The N0 pair (9/9 vs 2/10) is the result.</w:t>
            </w:r>
          </w:p>
          <w:p>
            <w:r>
              <w:rPr>
                <w:b/>
                <w:bCs/>
                <w:highlight w:val="yellow"/>
                <w:highlightCs w:val="yellow"/>
              </w:rPr>
              <w:t xml:space="preserve">[PASTE results/figure1_detection_vs_fpr.png]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8E1" w:val="clear"/>
          </w:tcPr>
          <w:p>
            <w:r>
              <w:rPr>
                <w:b/>
                <w:bCs/>
              </w:rPr>
              <w:t xml:space="preserve">GRAPH 2.</w:t>
            </w:r>
          </w:p>
          <w:p>
            <w:r>
              <w:t xml:space="preserve">Cross-seed consistency by arm: 1.00 everywhere a real signal exists, 0.67 with contradictory pairs on the one arm without.</w:t>
            </w:r>
          </w:p>
          <w:p>
            <w:r>
              <w:rPr>
                <w:b/>
                <w:bCs/>
                <w:highlight w:val="yellow"/>
                <w:highlightCs w:val="yellow"/>
              </w:rPr>
              <w:t xml:space="preserve">[PASTE consistency chart — build from results/consistency.json]</w:t>
            </w:r>
          </w:p>
        </w:tc>
      </w:tr>
    </w:tbl>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Stratified by arm, uniform within stratum, seed hard-coded in </w:t>
      </w:r>
      <w:r>
        <w:rPr>
          <w:rFonts w:ascii="Consolas" w:cs="Consolas" w:eastAsia="Consolas" w:hAnsi="Consolas"/>
          <w:sz w:val="19"/>
          <w:szCs w:val="19"/>
        </w:rPr>
        <w:t xml:space="preserve">src/sample_outputs.py</w:t>
      </w:r>
      <w:r>
        <w:t xml:space="preserve"> so re-rolling the draw would show as a diff.</w:t>
      </w:r>
    </w:p>
    <w:p>
      <w:r>
        <w:rPr>
          <w:b/>
          <w:bCs/>
          <w:highlight w:val="yellow"/>
          <w:highlightCs w:val="yellow"/>
        </w:rPr>
        <w:t xml:space="preserve">[FILL IN — paste results/D5_sampled_outputs.md]</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At most one of these is right, and no ground truth is needed to know that. Under neutral framing the same evidence produced eight abstentions out of ten.</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six entries, every one made before the data it affects.</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and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I designed the arms, wrote the pre-registration before collecting data, ran the literature verification that refuted three of my own claims, reimplemented the ADL signal, built the blinding harness and the consistency instrument, trained the null organisms, ran the 80-run experiment, and wrote this document.</w:t>
      </w:r>
    </w:p>
    <w:p>
      <w:r>
        <w:rPr>
          <w:b/>
          <w:bCs/>
          <w:highlight w:val="yellow"/>
          <w:highlightCs w:val="yellow"/>
        </w:rPr>
        <w:t xml:space="preserve">[FILL IN if anyone else touched any part of it — Neel asks directly.]</w:t>
      </w:r>
    </w:p>
    <w:p>
      <w:pPr>
        <w:pStyle w:val="Heading1"/>
        <w:spacing w:after="140" w:before="320"/>
      </w:pPr>
      <w:r>
        <w:t xml:space="preserve">Before you send this</w:t>
      </w:r>
    </w:p>
    <w:p>
      <w:pPr>
        <w:pStyle w:val="ListParagraph"/>
        <w:numPr>
          <w:ilvl w:val="0"/>
          <w:numId w:val="2"/>
        </w:numPr>
      </w:pPr>
      <w:r>
        <w:t xml:space="preserve">Fill the yellow fields: hours, repo URL, random examples.</w:t>
      </w:r>
    </w:p>
    <w:p>
      <w:pPr>
        <w:pStyle w:val="ListParagraph"/>
        <w:numPr>
          <w:ilvl w:val="0"/>
          <w:numId w:val="2"/>
        </w:numPr>
      </w:pPr>
      <w:r>
        <w:t xml:space="preserve">Build Graph 1 and drop it in. Graph 1 carries the document.</w:t>
      </w:r>
    </w:p>
    <w:p>
      <w:pPr>
        <w:pStyle w:val="ListParagraph"/>
        <w:numPr>
          <w:ilvl w:val="0"/>
          <w:numId w:val="2"/>
        </w:numPr>
      </w:pPr>
      <w:r>
        <w:rPr>
          <w:b/>
          <w:bCs/>
        </w:rPr>
        <w:t xml:space="preserve">Do the κ grader validation</w:t>
      </w:r>
      <w:r>
        <w:t xml:space="preserve"> (PREREG §10) or keep the limitation stated as-is. Do not quietly drop it.</w:t>
      </w:r>
    </w:p>
    <w:p>
      <w:pPr>
        <w:pStyle w:val="ListParagraph"/>
        <w:numPr>
          <w:ilvl w:val="0"/>
          <w:numId w:val="2"/>
        </w:numPr>
      </w:pPr>
      <w:r>
        <w:t xml:space="preserve">Set the Google Doc to </w:t>
      </w:r>
      <w:r>
        <w:rPr>
          <w:b/>
          <w:bCs/>
        </w:rPr>
        <w:t xml:space="preserve">anyone with the link can view</w:t>
      </w:r>
      <w:r>
        <w:t xml:space="preserve">.</w:t>
      </w:r>
    </w:p>
    <w:p>
      <w:pPr>
        <w:pStyle w:val="ListParagraph"/>
        <w:numPr>
          <w:ilvl w:val="0"/>
          <w:numId w:val="2"/>
        </w:numPr>
      </w:pPr>
      <w:r>
        <w:t xml:space="preserve">Numbers discipline: 91%/39%, never 97%/12%. “Among the controls they run”, never “their controls are”.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2026-08-13T04:58:21.484Z</dcterms:created>
  <dcterms:modified xsi:type="dcterms:W3CDTF">2026-08-13T04:58:21.485Z</dcterms:modified>
</cp:coreProperties>
</file>

<file path=docProps/custom.xml><?xml version="1.0" encoding="utf-8"?>
<Properties xmlns="http://schemas.openxmlformats.org/officeDocument/2006/custom-properties" xmlns:vt="http://schemas.openxmlformats.org/officeDocument/2006/docPropsVTypes"/>
</file>