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Arial" w:cs="Arial" w:eastAsia="Arial" w:hAnsi="Arial"/>
          <w:b/>
          <w:bCs/>
          <w:color w:val="1A3A6B"/>
          <w:sz w:val="44"/>
          <w:szCs w:val="44"/>
        </w:rPr>
        <w:t xml:space="preserve">NOX ENTERTAINMENT SYSTEM</w:t>
      </w:r>
    </w:p>
    <w:p>
      <w:pPr>
        <w:spacing w:after="60" w:before="0"/>
        <w:jc w:val="center"/>
      </w:pPr>
      <w:r>
        <w:rPr>
          <w:rFonts w:ascii="Arial" w:cs="Arial" w:eastAsia="Arial" w:hAnsi="Arial"/>
          <w:b/>
          <w:bCs/>
          <w:color w:val="1A1A1A"/>
          <w:sz w:val="32"/>
          <w:szCs w:val="32"/>
        </w:rPr>
        <w:t xml:space="preserve">Terms &amp; Conditions</w:t>
      </w:r>
    </w:p>
    <w:p>
      <w:pPr>
        <w:spacing w:after="200" w:before="0"/>
        <w:jc w:val="center"/>
      </w:pPr>
      <w:r>
        <w:rPr>
          <w:rFonts w:ascii="Arial" w:cs="Arial" w:eastAsia="Arial" w:hAnsi="Arial"/>
          <w:i/>
          <w:iCs/>
          <w:color w:val="555555"/>
          <w:sz w:val="22"/>
          <w:szCs w:val="22"/>
        </w:rPr>
        <w:t xml:space="preserve">Please read this document carefully before using our facility.</w:t>
      </w:r>
    </w:p>
    <w:p>
      <w:pPr>
        <w:pStyle w:val="Heading1"/>
        <w:pBdr>
          <w:bottom w:val="single" w:color="1A3A6B" w:sz="6" w:space="4"/>
        </w:pBdr>
        <w:spacing w:after="120" w:before="400"/>
      </w:pPr>
      <w:r>
        <w:rPr>
          <w:rFonts w:ascii="Arial" w:cs="Arial" w:eastAsia="Arial" w:hAnsi="Arial"/>
          <w:b/>
          <w:bCs/>
          <w:color w:val="1A3A6B"/>
          <w:sz w:val="28"/>
          <w:szCs w:val="28"/>
        </w:rPr>
        <w:t xml:space="preserve">Preamble: Binding Covenant &amp; Consent</w:t>
      </w:r>
    </w:p>
    <w:p>
      <w:pPr>
        <w:spacing w:after="80" w:before="80"/>
      </w:pPr>
      <w:r>
        <w:rPr>
          <w:rFonts w:ascii="Arial" w:cs="Arial" w:eastAsia="Arial" w:hAnsi="Arial"/>
          <w:color w:val="555555"/>
          <w:sz w:val="22"/>
          <w:szCs w:val="22"/>
        </w:rPr>
        <w:t xml:space="preserve">Welcome to the NOX Entertainment System. By initiating a physical, digital, or transactional presence within our facility and engaging with any hardware or services provided herein, you systematically and irrevocably agree to be bound by the entirety of these Terms and Conditions.</w:t>
      </w:r>
    </w:p>
    <w:p>
      <w:pPr>
        <w:spacing w:after="80" w:before="80"/>
      </w:pPr>
      <w:r>
        <w:t xml:space="preserve"/>
      </w:r>
    </w:p>
    <w:p>
      <w:pPr>
        <w:spacing w:after="80" w:before="80"/>
      </w:pPr>
      <w:r>
        <w:rPr>
          <w:rFonts w:ascii="Arial" w:cs="Arial" w:eastAsia="Arial" w:hAnsi="Arial"/>
          <w:color w:val="555555"/>
          <w:sz w:val="22"/>
          <w:szCs w:val="22"/>
        </w:rPr>
        <w:t xml:space="preserve">A summarized display of our foundational house rules is visible at the facility entrance, and full access to this document is permanently available at the counter operations terminal. By finalizing your reservation and verbally acknowledging our house directives to NOX personnel prior to payment, you enter into a legally binding, non-negotiable covenant with NOX Entertainment System.</w:t>
      </w:r>
    </w:p>
    <w:p>
      <w:pPr>
        <w:pStyle w:val="Heading1"/>
        <w:pBdr>
          <w:bottom w:val="single" w:color="1A3A6B" w:sz="6" w:space="4"/>
        </w:pBdr>
        <w:spacing w:after="120" w:before="400"/>
      </w:pPr>
      <w:r>
        <w:rPr>
          <w:rFonts w:ascii="Arial" w:cs="Arial" w:eastAsia="Arial" w:hAnsi="Arial"/>
          <w:b/>
          <w:bCs/>
          <w:color w:val="1A3A6B"/>
          <w:sz w:val="28"/>
          <w:szCs w:val="28"/>
        </w:rPr>
        <w:t xml:space="preserve">Article I: Rule Modifications &amp; Code of Conduct</w:t>
      </w:r>
    </w:p>
    <w:p>
      <w:pPr>
        <w:pStyle w:val="Heading2"/>
        <w:spacing w:after="80" w:before="280"/>
      </w:pPr>
      <w:r>
        <w:rPr>
          <w:rFonts w:ascii="Arial" w:cs="Arial" w:eastAsia="Arial" w:hAnsi="Arial"/>
          <w:b/>
          <w:bCs/>
          <w:color w:val="1A1A1A"/>
          <w:sz w:val="24"/>
          <w:szCs w:val="24"/>
        </w:rPr>
        <w:t xml:space="preserve">Section 1.01 — Unrestricted Rule Modification Authority</w:t>
      </w:r>
    </w:p>
    <w:p>
      <w:pPr>
        <w:spacing w:after="80" w:before="80"/>
      </w:pPr>
      <w:r>
        <w:rPr>
          <w:rFonts w:ascii="Arial" w:cs="Arial" w:eastAsia="Arial" w:hAnsi="Arial"/>
          <w:color w:val="555555"/>
          <w:sz w:val="22"/>
          <w:szCs w:val="22"/>
        </w:rPr>
        <w:t xml:space="preserve">NOX Entertainment System explicitly reserves the absolute right to amend or reconstruct these Terms &amp; Conditions with a formalized 48-hour notification horizon, publicly posted at the facility entrance and across our digital infrastructure.</w:t>
      </w:r>
    </w:p>
    <w:p>
      <w:pPr>
        <w:pStyle w:val="ListParagraph"/>
        <w:numPr>
          <w:ilvl w:val="0"/>
          <w:numId w:val="2"/>
        </w:numPr>
        <w:spacing w:after="60" w:before="60"/>
      </w:pPr>
      <w:r>
        <w:rPr>
          <w:rFonts w:ascii="Arial" w:cs="Arial" w:eastAsia="Arial" w:hAnsi="Arial"/>
          <w:color w:val="555555"/>
          <w:sz w:val="22"/>
          <w:szCs w:val="22"/>
        </w:rPr>
        <w:t xml:space="preserve">Emergency safety protocol amendments take immediate effect and are not subject to the 48-hour notice period. Emergency safety protocol status is declared solely at the discretion of NOX staff and management. Their determination is final and non-contestable.</w:t>
      </w:r>
    </w:p>
    <w:p>
      <w:pPr>
        <w:pStyle w:val="ListParagraph"/>
        <w:numPr>
          <w:ilvl w:val="0"/>
          <w:numId w:val="2"/>
        </w:numPr>
        <w:spacing w:after="60" w:before="60"/>
      </w:pPr>
      <w:r>
        <w:rPr>
          <w:rFonts w:ascii="Arial" w:cs="Arial" w:eastAsia="Arial" w:hAnsi="Arial"/>
          <w:color w:val="555555"/>
          <w:sz w:val="22"/>
          <w:szCs w:val="22"/>
        </w:rPr>
        <w:t xml:space="preserve">Modifications apply solely to future bookings and do not retroactively alter parameters of sessions currently in active operation.</w:t>
      </w:r>
    </w:p>
    <w:p>
      <w:pPr>
        <w:pStyle w:val="Heading2"/>
        <w:spacing w:after="80" w:before="280"/>
      </w:pPr>
      <w:r>
        <w:rPr>
          <w:rFonts w:ascii="Arial" w:cs="Arial" w:eastAsia="Arial" w:hAnsi="Arial"/>
          <w:b/>
          <w:bCs/>
          <w:color w:val="1A1A1A"/>
          <w:sz w:val="24"/>
          <w:szCs w:val="24"/>
        </w:rPr>
        <w:t xml:space="preserve">Section 1.02 — Code of Conduct</w:t>
      </w:r>
    </w:p>
    <w:p>
      <w:pPr>
        <w:spacing w:after="80" w:before="80"/>
      </w:pPr>
      <w:r>
        <w:rPr>
          <w:rFonts w:ascii="Arial" w:cs="Arial" w:eastAsia="Arial" w:hAnsi="Arial"/>
          <w:color w:val="555555"/>
          <w:sz w:val="22"/>
          <w:szCs w:val="22"/>
        </w:rPr>
        <w:t xml:space="preserve">We mandate that all patrons rigorously adhere to our established House Rules. NOX personnel will issue ONE verbal warning prior to mandatory session termination. Core conduct pillars:</w:t>
      </w:r>
    </w:p>
    <w:p>
      <w:pPr>
        <w:pStyle w:val="ListParagraph"/>
        <w:numPr>
          <w:ilvl w:val="0"/>
          <w:numId w:val="2"/>
        </w:numPr>
        <w:spacing w:after="60" w:before="60"/>
      </w:pPr>
      <w:r>
        <w:rPr>
          <w:rFonts w:ascii="Arial" w:cs="Arial" w:eastAsia="Arial" w:hAnsi="Arial"/>
          <w:color w:val="555555"/>
          <w:sz w:val="22"/>
          <w:szCs w:val="22"/>
        </w:rPr>
        <w:t xml:space="preserve">Maintain vocal projections at or below a reasonable conversational level.</w:t>
      </w:r>
    </w:p>
    <w:p>
      <w:pPr>
        <w:pStyle w:val="ListParagraph"/>
        <w:numPr>
          <w:ilvl w:val="0"/>
          <w:numId w:val="2"/>
        </w:numPr>
        <w:spacing w:after="60" w:before="60"/>
      </w:pPr>
      <w:r>
        <w:rPr>
          <w:rFonts w:ascii="Arial" w:cs="Arial" w:eastAsia="Arial" w:hAnsi="Arial"/>
          <w:color w:val="555555"/>
          <w:sz w:val="22"/>
          <w:szCs w:val="22"/>
        </w:rPr>
        <w:t xml:space="preserve">Exercise extreme care and physical restraint when handling all controllers, VR equipment, and peripheral hardware.</w:t>
      </w:r>
    </w:p>
    <w:p>
      <w:pPr>
        <w:pStyle w:val="ListParagraph"/>
        <w:numPr>
          <w:ilvl w:val="0"/>
          <w:numId w:val="2"/>
        </w:numPr>
        <w:spacing w:after="60" w:before="60"/>
      </w:pPr>
      <w:r>
        <w:rPr>
          <w:rFonts w:ascii="Arial" w:cs="Arial" w:eastAsia="Arial" w:hAnsi="Arial"/>
          <w:color w:val="555555"/>
          <w:sz w:val="22"/>
          <w:szCs w:val="22"/>
        </w:rPr>
        <w:t xml:space="preserve">Remain physically anchored in designated seating; erratic movements and running are strictly prohibited.</w:t>
      </w:r>
    </w:p>
    <w:p>
      <w:pPr>
        <w:pStyle w:val="ListParagraph"/>
        <w:numPr>
          <w:ilvl w:val="0"/>
          <w:numId w:val="2"/>
        </w:numPr>
        <w:spacing w:after="60" w:before="60"/>
      </w:pPr>
      <w:r>
        <w:rPr>
          <w:rFonts w:ascii="Arial" w:cs="Arial" w:eastAsia="Arial" w:hAnsi="Arial"/>
          <w:color w:val="555555"/>
          <w:sz w:val="22"/>
          <w:szCs w:val="22"/>
        </w:rPr>
        <w:t xml:space="preserve">Adhere instantaneously to all directives issued by NOX staff, especially those pertaining to VR spatial safety boundaries.</w:t>
      </w:r>
    </w:p>
    <w:p>
      <w:pPr>
        <w:pStyle w:val="Heading1"/>
        <w:pBdr>
          <w:bottom w:val="single" w:color="1A3A6B" w:sz="6" w:space="4"/>
        </w:pBdr>
        <w:spacing w:after="120" w:before="400"/>
      </w:pPr>
      <w:r>
        <w:rPr>
          <w:rFonts w:ascii="Arial" w:cs="Arial" w:eastAsia="Arial" w:hAnsi="Arial"/>
          <w:b/>
          <w:bCs/>
          <w:color w:val="1A3A6B"/>
          <w:sz w:val="28"/>
          <w:szCs w:val="28"/>
        </w:rPr>
        <w:t xml:space="preserve">Article II: Financial Protocols, Outages &amp; Cancellations</w:t>
      </w:r>
    </w:p>
    <w:p>
      <w:pPr>
        <w:pStyle w:val="Heading2"/>
        <w:spacing w:after="80" w:before="280"/>
      </w:pPr>
      <w:r>
        <w:rPr>
          <w:rFonts w:ascii="Arial" w:cs="Arial" w:eastAsia="Arial" w:hAnsi="Arial"/>
          <w:b/>
          <w:bCs/>
          <w:color w:val="1A1A1A"/>
          <w:sz w:val="24"/>
          <w:szCs w:val="24"/>
        </w:rPr>
        <w:t xml:space="preserve">Section 2.01 — Reservation Integrity &amp; Financial Protocols</w:t>
      </w:r>
    </w:p>
    <w:p>
      <w:pPr>
        <w:spacing w:after="80" w:before="80"/>
      </w:pPr>
      <w:r>
        <w:rPr>
          <w:rFonts w:ascii="Arial" w:cs="Arial" w:eastAsia="Arial" w:hAnsi="Arial"/>
          <w:color w:val="555555"/>
          <w:sz w:val="22"/>
          <w:szCs w:val="22"/>
        </w:rPr>
        <w:t xml:space="preserve">Sessions are initiated on a pay-to-play basis. Payment is required immediately upon arrival. Reservation scheduling and session time slots are assigned exclusively at the discretion of NOX staff. The NOX economic framework operates exclusively on a strict pre-paid infrastructure accepting:</w:t>
      </w:r>
    </w:p>
    <w:p>
      <w:pPr>
        <w:pStyle w:val="ListParagraph"/>
        <w:numPr>
          <w:ilvl w:val="0"/>
          <w:numId w:val="2"/>
        </w:numPr>
        <w:spacing w:after="60" w:before="60"/>
      </w:pPr>
      <w:r>
        <w:rPr>
          <w:rFonts w:ascii="Arial" w:cs="Arial" w:eastAsia="Arial" w:hAnsi="Arial"/>
          <w:color w:val="555555"/>
          <w:sz w:val="22"/>
          <w:szCs w:val="22"/>
        </w:rPr>
        <w:t xml:space="preserve">Cash (fiat currency)</w:t>
      </w:r>
    </w:p>
    <w:p>
      <w:pPr>
        <w:pStyle w:val="ListParagraph"/>
        <w:numPr>
          <w:ilvl w:val="0"/>
          <w:numId w:val="2"/>
        </w:numPr>
        <w:spacing w:after="60" w:before="60"/>
      </w:pPr>
      <w:r>
        <w:rPr>
          <w:rFonts w:ascii="Arial" w:cs="Arial" w:eastAsia="Arial" w:hAnsi="Arial"/>
          <w:color w:val="555555"/>
          <w:sz w:val="22"/>
          <w:szCs w:val="22"/>
        </w:rPr>
        <w:t xml:space="preserve">UPI — Unified Payments Interface (authorized digital asset transfers)</w:t>
      </w:r>
    </w:p>
    <w:p>
      <w:pPr>
        <w:spacing w:after="80" w:before="80"/>
      </w:pPr>
      <w:r>
        <w:t xml:space="preserve"/>
      </w:r>
    </w:p>
    <w:p>
      <w:pPr>
        <w:spacing w:after="80" w:before="80"/>
      </w:pPr>
      <w:r>
        <w:rPr>
          <w:rFonts w:ascii="Arial" w:cs="Arial" w:eastAsia="Arial" w:hAnsi="Arial"/>
          <w:color w:val="555555"/>
          <w:sz w:val="22"/>
          <w:szCs w:val="22"/>
        </w:rPr>
        <w:t xml:space="preserve">In the event of a NOX-initiated reservation cancellation, the patron is entitled to a full refund plus priority rebooking rights at no additional charge.</w:t>
      </w:r>
    </w:p>
    <w:p>
      <w:pPr>
        <w:spacing w:after="80" w:before="80"/>
      </w:pPr>
      <w:r>
        <w:t xml:space="preserve"/>
      </w:r>
    </w:p>
    <w:p>
      <w:pPr>
        <w:spacing w:after="80" w:before="80"/>
      </w:pPr>
      <w:r>
        <w:rPr>
          <w:rFonts w:ascii="Arial" w:cs="Arial" w:eastAsia="Arial" w:hAnsi="Arial"/>
          <w:color w:val="555555"/>
          <w:sz w:val="22"/>
          <w:szCs w:val="22"/>
        </w:rPr>
        <w:t xml:space="preserve">Patron-initiated cancellations are permitted at no charge. However, should the patron subsequently choose to rebook or attend, a rebooking surcharge applies as determined by the session plan on the patron's original bill.</w:t>
      </w:r>
    </w:p>
    <w:p>
      <w:pPr>
        <w:pStyle w:val="Heading2"/>
        <w:spacing w:after="80" w:before="280"/>
      </w:pPr>
      <w:r>
        <w:rPr>
          <w:rFonts w:ascii="Arial" w:cs="Arial" w:eastAsia="Arial" w:hAnsi="Arial"/>
          <w:b/>
          <w:bCs/>
          <w:color w:val="1A1A1A"/>
          <w:sz w:val="24"/>
          <w:szCs w:val="24"/>
        </w:rPr>
        <w:t xml:space="preserve">Section 2.02 — Force Majeure &amp; Technological Disruption Policy</w:t>
      </w:r>
    </w:p>
    <w:p>
      <w:pPr>
        <w:spacing w:after="60" w:before="120"/>
      </w:pPr>
      <w:r>
        <w:rPr>
          <w:rFonts w:ascii="Arial" w:cs="Arial" w:eastAsia="Arial" w:hAnsi="Arial"/>
          <w:b/>
          <w:bCs/>
          <w:color w:val="1A1A1A"/>
          <w:sz w:val="22"/>
          <w:szCs w:val="22"/>
        </w:rPr>
        <w:t xml:space="preserve">Covered by NOX (Compensation Authorized):</w:t>
      </w:r>
    </w:p>
    <w:p>
      <w:pPr>
        <w:pStyle w:val="ListParagraph"/>
        <w:numPr>
          <w:ilvl w:val="0"/>
          <w:numId w:val="2"/>
        </w:numPr>
        <w:spacing w:after="60" w:before="60"/>
      </w:pPr>
      <w:r>
        <w:rPr>
          <w:rFonts w:ascii="Arial" w:cs="Arial" w:eastAsia="Arial" w:hAnsi="Arial"/>
          <w:color w:val="555555"/>
          <w:sz w:val="22"/>
          <w:szCs w:val="22"/>
        </w:rPr>
        <w:t xml:space="preserve">Hard console crashes or freezes: cumulative downtime exceeding 5 minutes within a single session is eligible for compensation in the form of equivalent lost time appended to the active session.</w:t>
      </w:r>
    </w:p>
    <w:p>
      <w:pPr>
        <w:pStyle w:val="ListParagraph"/>
        <w:numPr>
          <w:ilvl w:val="0"/>
          <w:numId w:val="2"/>
        </w:numPr>
        <w:spacing w:after="60" w:before="60"/>
      </w:pPr>
      <w:r>
        <w:rPr>
          <w:rFonts w:ascii="Arial" w:cs="Arial" w:eastAsia="Arial" w:hAnsi="Arial"/>
          <w:color w:val="555555"/>
          <w:sz w:val="22"/>
          <w:szCs w:val="22"/>
        </w:rPr>
        <w:t xml:space="preserve">PSN or server outages restricting online multiplayer: customer may seamlessly transition to offline alternatives.</w:t>
      </w:r>
    </w:p>
    <w:p>
      <w:pPr>
        <w:pStyle w:val="ListParagraph"/>
        <w:numPr>
          <w:ilvl w:val="0"/>
          <w:numId w:val="2"/>
        </w:numPr>
        <w:spacing w:after="60" w:before="60"/>
      </w:pPr>
      <w:r>
        <w:rPr>
          <w:rFonts w:ascii="Arial" w:cs="Arial" w:eastAsia="Arial" w:hAnsi="Arial"/>
          <w:color w:val="555555"/>
          <w:sz w:val="22"/>
          <w:szCs w:val="22"/>
        </w:rPr>
        <w:t xml:space="preserve">Total regional power grid failures: full fiscal refund calculated against the remaining, unutilized time balance.</w:t>
      </w:r>
    </w:p>
    <w:p>
      <w:pPr>
        <w:pStyle w:val="ListParagraph"/>
        <w:numPr>
          <w:ilvl w:val="0"/>
          <w:numId w:val="2"/>
        </w:numPr>
        <w:spacing w:after="60" w:before="60"/>
      </w:pPr>
      <w:r>
        <w:rPr>
          <w:rFonts w:ascii="Arial" w:cs="Arial" w:eastAsia="Arial" w:hAnsi="Arial"/>
          <w:color w:val="555555"/>
          <w:sz w:val="22"/>
          <w:szCs w:val="22"/>
        </w:rPr>
        <w:t xml:space="preserve">Localized ISP severances during online-exclusive sessions: patron may choose a fiscal refund or transition to alternative gaming media.</w:t>
      </w:r>
    </w:p>
    <w:p>
      <w:pPr>
        <w:spacing w:after="80" w:before="80"/>
      </w:pPr>
      <w:r>
        <w:t xml:space="preserve"/>
      </w:r>
    </w:p>
    <w:p>
      <w:pPr>
        <w:spacing w:after="60" w:before="120"/>
      </w:pPr>
      <w:r>
        <w:rPr>
          <w:rFonts w:ascii="Arial" w:cs="Arial" w:eastAsia="Arial" w:hAnsi="Arial"/>
          <w:b/>
          <w:bCs/>
          <w:color w:val="1A1A1A"/>
          <w:sz w:val="22"/>
          <w:szCs w:val="22"/>
        </w:rPr>
        <w:t xml:space="preserve">NOT Covered — Zero Refund Eligibility (Customer Responsibility):</w:t>
      </w:r>
    </w:p>
    <w:p>
      <w:pPr>
        <w:pStyle w:val="ListParagraph"/>
        <w:numPr>
          <w:ilvl w:val="0"/>
          <w:numId w:val="2"/>
        </w:numPr>
        <w:spacing w:after="60" w:before="60"/>
      </w:pPr>
      <w:r>
        <w:rPr>
          <w:rFonts w:ascii="Arial" w:cs="Arial" w:eastAsia="Arial" w:hAnsi="Arial"/>
          <w:color w:val="555555"/>
          <w:sz w:val="22"/>
          <w:szCs w:val="22"/>
        </w:rPr>
        <w:t xml:space="preserve">Deliberate selection of software requiring active patch updates upon launch.</w:t>
      </w:r>
    </w:p>
    <w:p>
      <w:pPr>
        <w:pStyle w:val="ListParagraph"/>
        <w:numPr>
          <w:ilvl w:val="0"/>
          <w:numId w:val="2"/>
        </w:numPr>
        <w:spacing w:after="60" w:before="60"/>
      </w:pPr>
      <w:r>
        <w:rPr>
          <w:rFonts w:ascii="Arial" w:cs="Arial" w:eastAsia="Arial" w:hAnsi="Arial"/>
          <w:color w:val="555555"/>
          <w:sz w:val="22"/>
          <w:szCs w:val="22"/>
        </w:rPr>
        <w:t xml:space="preserve">Failure to verify controller battery charge reserves prior to session initiation. NOX staff will present controllers for battery verification before session start; failure to raise a concern at this stage constitutes acceptance of the hardware condition.</w:t>
      </w:r>
    </w:p>
    <w:p>
      <w:pPr>
        <w:pStyle w:val="ListParagraph"/>
        <w:numPr>
          <w:ilvl w:val="0"/>
          <w:numId w:val="2"/>
        </w:numPr>
        <w:spacing w:after="60" w:before="60"/>
      </w:pPr>
      <w:r>
        <w:rPr>
          <w:rFonts w:ascii="Arial" w:cs="Arial" w:eastAsia="Arial" w:hAnsi="Arial"/>
          <w:color w:val="555555"/>
          <w:sz w:val="22"/>
          <w:szCs w:val="22"/>
        </w:rPr>
        <w:t xml:space="preserve">Subjective complications arising from game difficulty (inability to navigate a specific challenge or level).</w:t>
      </w:r>
    </w:p>
    <w:p>
      <w:pPr>
        <w:pStyle w:val="Heading1"/>
        <w:pBdr>
          <w:bottom w:val="single" w:color="1A3A6B" w:sz="6" w:space="4"/>
        </w:pBdr>
        <w:spacing w:after="120" w:before="400"/>
      </w:pPr>
      <w:r>
        <w:rPr>
          <w:rFonts w:ascii="Arial" w:cs="Arial" w:eastAsia="Arial" w:hAnsi="Arial"/>
          <w:b/>
          <w:bCs/>
          <w:color w:val="1A3A6B"/>
          <w:sz w:val="28"/>
          <w:szCs w:val="28"/>
        </w:rPr>
        <w:t xml:space="preserve">Article III: Hardware Liability &amp; Sim Rig Protocols</w:t>
      </w:r>
    </w:p>
    <w:p>
      <w:pPr>
        <w:pStyle w:val="Heading2"/>
        <w:spacing w:after="80" w:before="280"/>
      </w:pPr>
      <w:r>
        <w:rPr>
          <w:rFonts w:ascii="Arial" w:cs="Arial" w:eastAsia="Arial" w:hAnsi="Arial"/>
          <w:b/>
          <w:bCs/>
          <w:color w:val="1A1A1A"/>
          <w:sz w:val="24"/>
          <w:szCs w:val="24"/>
        </w:rPr>
        <w:t xml:space="preserve">Section 3.01 — Strict Damage Liability</w:t>
      </w:r>
    </w:p>
    <w:p>
      <w:pPr>
        <w:spacing w:after="80" w:before="80"/>
      </w:pPr>
      <w:r>
        <w:rPr>
          <w:rFonts w:ascii="Arial" w:cs="Arial" w:eastAsia="Arial" w:hAnsi="Arial"/>
          <w:color w:val="555555"/>
          <w:sz w:val="22"/>
          <w:szCs w:val="22"/>
        </w:rPr>
        <w:t xml:space="preserve">Patrons bear the ultimate financial liability for all physical equipment under their operational control. In the event of hardware damage precipitated by misuse, gross negligence, or aggressive behavior, the culpable party is immediately obligated to remit the full retail replacement valuation of the compromised asset.</w:t>
      </w:r>
    </w:p>
    <w:p>
      <w:pPr>
        <w:spacing w:after="80" w:before="80"/>
      </w:pPr>
      <w:r>
        <w:t xml:space="preserve"/>
      </w:r>
    </w:p>
    <w:p>
      <w:pPr>
        <w:spacing w:after="80" w:before="80"/>
      </w:pPr>
      <w:r>
        <w:rPr>
          <w:rFonts w:ascii="Arial" w:cs="Arial" w:eastAsia="Arial" w:hAnsi="Arial"/>
          <w:color w:val="555555"/>
          <w:sz w:val="22"/>
          <w:szCs w:val="22"/>
        </w:rPr>
        <w:t xml:space="preserve">In cases where a spill results in partial or total hardware damage, the sanitation levy outlined in Section 4.02 is waived entirely, and full replacement liability under this section applies exclusively.</w:t>
      </w:r>
    </w:p>
    <w:p>
      <w:pPr>
        <w:pStyle w:val="Heading2"/>
        <w:spacing w:after="80" w:before="280"/>
      </w:pPr>
      <w:r>
        <w:rPr>
          <w:rFonts w:ascii="Arial" w:cs="Arial" w:eastAsia="Arial" w:hAnsi="Arial"/>
          <w:b/>
          <w:bCs/>
          <w:color w:val="1A1A1A"/>
          <w:sz w:val="24"/>
          <w:szCs w:val="24"/>
        </w:rPr>
        <w:t xml:space="preserve">Section 3.02 — Sim Rig Safety &amp; Calibration Mandates</w:t>
      </w:r>
    </w:p>
    <w:p>
      <w:pPr>
        <w:spacing w:after="80" w:before="80"/>
      </w:pPr>
      <w:r>
        <w:rPr>
          <w:rFonts w:ascii="Arial" w:cs="Arial" w:eastAsia="Arial" w:hAnsi="Arial"/>
          <w:color w:val="555555"/>
          <w:sz w:val="22"/>
          <w:szCs w:val="22"/>
        </w:rPr>
        <w:t xml:space="preserve">The preliminary calibration of the Kinetic Simulation Chassis must be exclusively executed by certified NOX personnel. Calibration procedure:</w:t>
      </w:r>
    </w:p>
    <w:p>
      <w:pPr>
        <w:pStyle w:val="ListParagraph"/>
        <w:numPr>
          <w:ilvl w:val="0"/>
          <w:numId w:val="2"/>
        </w:numPr>
        <w:spacing w:after="60" w:before="60"/>
      </w:pPr>
      <w:r>
        <w:rPr>
          <w:rFonts w:ascii="Arial" w:cs="Arial" w:eastAsia="Arial" w:hAnsi="Arial"/>
          <w:color w:val="555555"/>
          <w:sz w:val="22"/>
          <w:szCs w:val="22"/>
        </w:rPr>
        <w:t xml:space="preserve">Spatial Seating: Chassis distance adjusted until the patron can engage the pedal array whilst maintaining a slight flexure of the knee joint.</w:t>
      </w:r>
    </w:p>
    <w:p>
      <w:pPr>
        <w:pStyle w:val="ListParagraph"/>
        <w:numPr>
          <w:ilvl w:val="0"/>
          <w:numId w:val="2"/>
        </w:numPr>
        <w:spacing w:after="60" w:before="60"/>
      </w:pPr>
      <w:r>
        <w:rPr>
          <w:rFonts w:ascii="Arial" w:cs="Arial" w:eastAsia="Arial" w:hAnsi="Arial"/>
          <w:color w:val="555555"/>
          <w:sz w:val="22"/>
          <w:szCs w:val="22"/>
        </w:rPr>
        <w:t xml:space="preserve">Steering Column Elevation: Wheel positioned to accommodate a relaxed arm posture approximating 120-degree elbow articulation.</w:t>
      </w:r>
    </w:p>
    <w:p>
      <w:pPr>
        <w:pStyle w:val="ListParagraph"/>
        <w:numPr>
          <w:ilvl w:val="0"/>
          <w:numId w:val="2"/>
        </w:numPr>
        <w:spacing w:after="60" w:before="60"/>
      </w:pPr>
      <w:r>
        <w:rPr>
          <w:rFonts w:ascii="Arial" w:cs="Arial" w:eastAsia="Arial" w:hAnsi="Arial"/>
          <w:color w:val="555555"/>
          <w:sz w:val="22"/>
          <w:szCs w:val="22"/>
        </w:rPr>
        <w:t xml:space="preserve">Final Clearance Test: Staff will confirm — "Can you fully and comfortably depress all three pedals to their maximum compression state?"</w:t>
      </w:r>
    </w:p>
    <w:p>
      <w:pPr>
        <w:pStyle w:val="ListParagraph"/>
        <w:numPr>
          <w:ilvl w:val="0"/>
          <w:numId w:val="2"/>
        </w:numPr>
        <w:spacing w:after="60" w:before="60"/>
      </w:pPr>
      <w:r>
        <w:rPr>
          <w:rFonts w:ascii="Arial" w:cs="Arial" w:eastAsia="Arial" w:hAnsi="Arial"/>
          <w:color w:val="555555"/>
          <w:sz w:val="22"/>
          <w:szCs w:val="22"/>
        </w:rPr>
        <w:t xml:space="preserve">Absolute Safety Override: If any patron reports biomechanical discomfort or inability to reach controls within the first 60 seconds of session initiation, NOX staff must first attempt a full recalibration. If discomfort persists after recalibration, a complete refund will be issued. No complaint of discomfort raised after the 60-second window will be eligible for a refund. No simulation session shall proceed in an ergonomically unsafe configuration.</w:t>
      </w:r>
    </w:p>
    <w:p>
      <w:pPr>
        <w:pStyle w:val="Heading1"/>
        <w:pBdr>
          <w:bottom w:val="single" w:color="1A3A6B" w:sz="6" w:space="4"/>
        </w:pBdr>
        <w:spacing w:after="120" w:before="400"/>
      </w:pPr>
      <w:r>
        <w:rPr>
          <w:rFonts w:ascii="Arial" w:cs="Arial" w:eastAsia="Arial" w:hAnsi="Arial"/>
          <w:b/>
          <w:bCs/>
          <w:color w:val="1A3A6B"/>
          <w:sz w:val="28"/>
          <w:szCs w:val="28"/>
        </w:rPr>
        <w:t xml:space="preserve">Article IV: Bio-Security, Hygiene &amp; Food Restrictions</w:t>
      </w:r>
    </w:p>
    <w:p>
      <w:pPr>
        <w:pStyle w:val="Heading2"/>
        <w:spacing w:after="80" w:before="280"/>
      </w:pPr>
      <w:r>
        <w:rPr>
          <w:rFonts w:ascii="Arial" w:cs="Arial" w:eastAsia="Arial" w:hAnsi="Arial"/>
          <w:b/>
          <w:bCs/>
          <w:color w:val="1A1A1A"/>
          <w:sz w:val="24"/>
          <w:szCs w:val="24"/>
        </w:rPr>
        <w:t xml:space="preserve">Section 4.01 — Baseline Entry Requirements &amp; Hygiene</w:t>
      </w:r>
    </w:p>
    <w:p>
      <w:pPr>
        <w:pStyle w:val="ListParagraph"/>
        <w:numPr>
          <w:ilvl w:val="0"/>
          <w:numId w:val="2"/>
        </w:numPr>
        <w:spacing w:after="60" w:before="60"/>
      </w:pPr>
      <w:r>
        <w:rPr>
          <w:rFonts w:ascii="Arial" w:cs="Arial" w:eastAsia="Arial" w:hAnsi="Arial"/>
          <w:color w:val="555555"/>
          <w:sz w:val="22"/>
          <w:szCs w:val="22"/>
        </w:rPr>
        <w:t xml:space="preserve">Mandatory Hygiene: All patrons must apply the chemical sanitizer provided at the facility entrance prior to entry.</w:t>
      </w:r>
    </w:p>
    <w:p>
      <w:pPr>
        <w:pStyle w:val="ListParagraph"/>
        <w:numPr>
          <w:ilvl w:val="0"/>
          <w:numId w:val="2"/>
        </w:numPr>
        <w:spacing w:after="60" w:before="60"/>
      </w:pPr>
      <w:r>
        <w:rPr>
          <w:rFonts w:ascii="Arial" w:cs="Arial" w:eastAsia="Arial" w:hAnsi="Arial"/>
          <w:color w:val="555555"/>
          <w:sz w:val="22"/>
          <w:szCs w:val="22"/>
        </w:rPr>
        <w:t xml:space="preserve">Symptomatic Illness Refusal: Facility access will be denied to any individual exhibiting visible symptoms of illness including persistent coughing, erratic sneezing, or observable fever.</w:t>
      </w:r>
    </w:p>
    <w:p>
      <w:pPr>
        <w:pStyle w:val="ListParagraph"/>
        <w:numPr>
          <w:ilvl w:val="0"/>
          <w:numId w:val="2"/>
        </w:numPr>
        <w:spacing w:after="60" w:before="60"/>
      </w:pPr>
      <w:r>
        <w:rPr>
          <w:rFonts w:ascii="Arial" w:cs="Arial" w:eastAsia="Arial" w:hAnsi="Arial"/>
          <w:color w:val="555555"/>
          <w:sz w:val="22"/>
          <w:szCs w:val="22"/>
        </w:rPr>
        <w:t xml:space="preserve">General Environmental Comfort: A baseline standard of personal hygiene is strictly required. A single staff observation is sufficient to issue a warning. Session termination may be initiated upon multiple corroborated staff or patron complaints regarding severe atmospheric disruptions.</w:t>
      </w:r>
    </w:p>
    <w:p>
      <w:pPr>
        <w:pStyle w:val="Heading2"/>
        <w:spacing w:after="80" w:before="280"/>
      </w:pPr>
      <w:r>
        <w:rPr>
          <w:rFonts w:ascii="Arial" w:cs="Arial" w:eastAsia="Arial" w:hAnsi="Arial"/>
          <w:b/>
          <w:bCs/>
          <w:color w:val="1A1A1A"/>
          <w:sz w:val="24"/>
          <w:szCs w:val="24"/>
        </w:rPr>
        <w:t xml:space="preserve">Section 4.02 — Absolute Prohibition of Food &amp; Beverages</w:t>
      </w:r>
    </w:p>
    <w:p>
      <w:pPr>
        <w:spacing w:after="80" w:before="80"/>
      </w:pPr>
      <w:r>
        <w:rPr>
          <w:rFonts w:ascii="Arial" w:cs="Arial" w:eastAsia="Arial" w:hAnsi="Arial"/>
          <w:color w:val="555555"/>
          <w:sz w:val="22"/>
          <w:szCs w:val="22"/>
        </w:rPr>
        <w:t xml:space="preserve">The introduction of external food and beverages of any classification is strictly prohibited within proximity of any technological setups.</w:t>
      </w:r>
    </w:p>
    <w:p>
      <w:pPr>
        <w:spacing w:after="80" w:before="80"/>
      </w:pPr>
      <w:r>
        <w:t xml:space="preserve"/>
      </w:r>
    </w:p>
    <w:p>
      <w:pPr>
        <w:spacing w:after="80" w:before="80"/>
      </w:pPr>
      <w:r>
        <w:rPr>
          <w:rFonts w:ascii="Arial" w:cs="Arial" w:eastAsia="Arial" w:hAnsi="Arial"/>
          <w:color w:val="555555"/>
          <w:sz w:val="22"/>
          <w:szCs w:val="22"/>
        </w:rPr>
        <w:t xml:space="preserve">In the event of an accidental spill that does not result in hardware damage, the offending patron is legally bound to remit a punitive sanitation levy of:</w:t>
      </w:r>
    </w:p>
    <w:p>
      <w:pPr>
        <w:pStyle w:val="ListParagraph"/>
        <w:numPr>
          <w:ilvl w:val="0"/>
          <w:numId w:val="2"/>
        </w:numPr>
        <w:spacing w:after="60" w:before="60"/>
      </w:pPr>
      <w:r>
        <w:rPr>
          <w:rFonts w:ascii="Arial" w:cs="Arial" w:eastAsia="Arial" w:hAnsi="Arial"/>
          <w:color w:val="555555"/>
          <w:sz w:val="22"/>
          <w:szCs w:val="22"/>
        </w:rPr>
        <w:t xml:space="preserve">₹500 to ₹5,000 INR (determined by severity assessment)</w:t>
      </w:r>
    </w:p>
    <w:p>
      <w:pPr>
        <w:pStyle w:val="ListParagraph"/>
        <w:numPr>
          <w:ilvl w:val="0"/>
          <w:numId w:val="2"/>
        </w:numPr>
        <w:spacing w:after="60" w:before="60"/>
      </w:pPr>
      <w:r>
        <w:rPr>
          <w:rFonts w:ascii="Arial" w:cs="Arial" w:eastAsia="Arial" w:hAnsi="Arial"/>
          <w:color w:val="555555"/>
          <w:sz w:val="22"/>
          <w:szCs w:val="22"/>
        </w:rPr>
        <w:t xml:space="preserve">OR independently facilitate immediate professional-grade sanitation remediation matching NOX's internal cleanliness parameters.</w:t>
      </w:r>
    </w:p>
    <w:p>
      <w:pPr>
        <w:spacing w:after="80" w:before="80"/>
      </w:pPr>
      <w:r>
        <w:t xml:space="preserve"/>
      </w:r>
    </w:p>
    <w:p>
      <w:pPr>
        <w:spacing w:after="80" w:before="80"/>
      </w:pPr>
      <w:r>
        <w:rPr>
          <w:rFonts w:ascii="Arial" w:cs="Arial" w:eastAsia="Arial" w:hAnsi="Arial"/>
          <w:color w:val="555555"/>
          <w:sz w:val="22"/>
          <w:szCs w:val="22"/>
        </w:rPr>
        <w:t xml:space="preserve">In the event a spill results in partial or total hardware damage, Section 3.01 full replacement liability applies exclusively and the sanitation levy is waived.</w:t>
      </w:r>
    </w:p>
    <w:p>
      <w:pPr>
        <w:pStyle w:val="Heading1"/>
        <w:pBdr>
          <w:bottom w:val="single" w:color="1A3A6B" w:sz="6" w:space="4"/>
        </w:pBdr>
        <w:spacing w:after="120" w:before="400"/>
      </w:pPr>
      <w:r>
        <w:rPr>
          <w:rFonts w:ascii="Arial" w:cs="Arial" w:eastAsia="Arial" w:hAnsi="Arial"/>
          <w:b/>
          <w:bCs/>
          <w:color w:val="1A3A6B"/>
          <w:sz w:val="28"/>
          <w:szCs w:val="28"/>
        </w:rPr>
        <w:t xml:space="preserve">Article V: Software Ecosystems &amp; Age-Appropriate Content</w:t>
      </w:r>
    </w:p>
    <w:p>
      <w:pPr>
        <w:pStyle w:val="Heading2"/>
        <w:spacing w:after="80" w:before="280"/>
      </w:pPr>
      <w:r>
        <w:rPr>
          <w:rFonts w:ascii="Arial" w:cs="Arial" w:eastAsia="Arial" w:hAnsi="Arial"/>
          <w:b/>
          <w:bCs/>
          <w:color w:val="1A1A1A"/>
          <w:sz w:val="24"/>
          <w:szCs w:val="24"/>
        </w:rPr>
        <w:t xml:space="preserve">Section 5.01 — Age-Gated Game Access Architecture</w:t>
      </w:r>
    </w:p>
    <w:p>
      <w:pPr>
        <w:spacing w:after="80" w:before="80"/>
      </w:pPr>
      <w:r>
        <w:rPr>
          <w:rFonts w:ascii="Arial" w:cs="Arial" w:eastAsia="Arial" w:hAnsi="Arial"/>
          <w:color w:val="555555"/>
          <w:sz w:val="22"/>
          <w:szCs w:val="22"/>
        </w:rPr>
        <w:t xml:space="preserve">NOX complies with standardized international software rating paradigms to ensure the psychological safeguarding of minors.</w:t>
      </w:r>
    </w:p>
    <w:p>
      <w:pPr>
        <w:pStyle w:val="ListParagraph"/>
        <w:numPr>
          <w:ilvl w:val="0"/>
          <w:numId w:val="2"/>
        </w:numPr>
        <w:spacing w:after="60" w:before="60"/>
      </w:pPr>
      <w:r>
        <w:rPr>
          <w:rFonts w:ascii="Arial" w:cs="Arial" w:eastAsia="Arial" w:hAnsi="Arial"/>
          <w:color w:val="555555"/>
          <w:sz w:val="22"/>
          <w:szCs w:val="22"/>
        </w:rPr>
        <w:t xml:space="preserve">Ages 7–12: Strictly limited to 'E' (Everyone) and 'E10+' rated software environments.</w:t>
      </w:r>
    </w:p>
    <w:p>
      <w:pPr>
        <w:pStyle w:val="ListParagraph"/>
        <w:numPr>
          <w:ilvl w:val="0"/>
          <w:numId w:val="2"/>
        </w:numPr>
        <w:spacing w:after="60" w:before="60"/>
      </w:pPr>
      <w:r>
        <w:rPr>
          <w:rFonts w:ascii="Arial" w:cs="Arial" w:eastAsia="Arial" w:hAnsi="Arial"/>
          <w:color w:val="555555"/>
          <w:sz w:val="22"/>
          <w:szCs w:val="22"/>
        </w:rPr>
        <w:t xml:space="preserve">Ages 13–17: Clearance permits up to 'T' (Teen) rated software. Access to 'M' (Mature 17+) requires confirmed physical presence of a legal guardian and execution of a formal liability waiver.</w:t>
      </w:r>
    </w:p>
    <w:p>
      <w:pPr>
        <w:pStyle w:val="ListParagraph"/>
        <w:numPr>
          <w:ilvl w:val="0"/>
          <w:numId w:val="2"/>
        </w:numPr>
        <w:spacing w:after="60" w:before="60"/>
      </w:pPr>
      <w:r>
        <w:rPr>
          <w:rFonts w:ascii="Arial" w:cs="Arial" w:eastAsia="Arial" w:hAnsi="Arial"/>
          <w:color w:val="555555"/>
          <w:sz w:val="22"/>
          <w:szCs w:val="22"/>
        </w:rPr>
        <w:t xml:space="preserve">Ages 18+: Unrestricted software access, contingent upon presentation of authorized identification credentials prior to the first M-rated session.</w:t>
      </w:r>
    </w:p>
    <w:p>
      <w:pPr>
        <w:spacing w:after="80" w:before="80"/>
      </w:pPr>
      <w:r>
        <w:t xml:space="preserve"/>
      </w:r>
    </w:p>
    <w:p>
      <w:pPr>
        <w:spacing w:after="60" w:before="120"/>
      </w:pPr>
      <w:r>
        <w:rPr>
          <w:rFonts w:ascii="Arial" w:cs="Arial" w:eastAsia="Arial" w:hAnsi="Arial"/>
          <w:b/>
          <w:bCs/>
          <w:color w:val="1A1A1A"/>
          <w:sz w:val="22"/>
          <w:szCs w:val="22"/>
        </w:rPr>
        <w:t xml:space="preserve">Parental Accountability Notice:</w:t>
      </w:r>
    </w:p>
    <w:p>
      <w:pPr>
        <w:spacing w:after="80" w:before="80"/>
      </w:pPr>
      <w:r>
        <w:rPr>
          <w:rFonts w:ascii="Arial" w:cs="Arial" w:eastAsia="Arial" w:hAnsi="Arial"/>
          <w:color w:val="555555"/>
          <w:sz w:val="22"/>
          <w:szCs w:val="22"/>
        </w:rPr>
        <w:t xml:space="preserve">NOX mandates that parents understand specific software ecosystems encompass simulated violence, intense expletives, and mature thematic elements. The burden of moral monitoring of a minor's software selection falls entirely upon the accompanying parental unit. NOX employs automated 'Family Mode' restrictions to proactively lock out M-rated titles on universally accessible hardware endpoints.</w:t>
      </w:r>
    </w:p>
    <w:p>
      <w:pPr>
        <w:pStyle w:val="Heading1"/>
        <w:pBdr>
          <w:bottom w:val="single" w:color="1A3A6B" w:sz="6" w:space="4"/>
        </w:pBdr>
        <w:spacing w:after="120" w:before="400"/>
      </w:pPr>
      <w:r>
        <w:rPr>
          <w:rFonts w:ascii="Arial" w:cs="Arial" w:eastAsia="Arial" w:hAnsi="Arial"/>
          <w:b/>
          <w:bCs/>
          <w:color w:val="1A3A6B"/>
          <w:sz w:val="28"/>
          <w:szCs w:val="28"/>
        </w:rPr>
        <w:t xml:space="preserve">Article VI: Multiplayer Dynamics &amp; Escalation Protocols</w:t>
      </w:r>
    </w:p>
    <w:p>
      <w:pPr>
        <w:pStyle w:val="Heading2"/>
        <w:spacing w:after="80" w:before="280"/>
      </w:pPr>
      <w:r>
        <w:rPr>
          <w:rFonts w:ascii="Arial" w:cs="Arial" w:eastAsia="Arial" w:hAnsi="Arial"/>
          <w:b/>
          <w:bCs/>
          <w:color w:val="1A1A1A"/>
          <w:sz w:val="24"/>
          <w:szCs w:val="24"/>
        </w:rPr>
        <w:t xml:space="preserve">Section 6.01 — Hardware Allocation &amp; Multiplayer Architecture</w:t>
      </w:r>
    </w:p>
    <w:p>
      <w:pPr>
        <w:pStyle w:val="ListParagraph"/>
        <w:numPr>
          <w:ilvl w:val="0"/>
          <w:numId w:val="2"/>
        </w:numPr>
        <w:spacing w:after="60" w:before="60"/>
      </w:pPr>
      <w:r>
        <w:rPr>
          <w:rFonts w:ascii="Arial" w:cs="Arial" w:eastAsia="Arial" w:hAnsi="Arial"/>
          <w:color w:val="555555"/>
          <w:sz w:val="22"/>
          <w:szCs w:val="22"/>
        </w:rPr>
        <w:t xml:space="preserve">Single Player Sessions: The ratio of paying patron to hardware is strictly 1:1. Unauthorized transfer of a controller to secondary individuals is a protocol violation subject to the escalation matrix in Section 6.02.</w:t>
      </w:r>
    </w:p>
    <w:p>
      <w:pPr>
        <w:pStyle w:val="ListParagraph"/>
        <w:numPr>
          <w:ilvl w:val="0"/>
          <w:numId w:val="2"/>
        </w:numPr>
        <w:spacing w:after="60" w:before="60"/>
      </w:pPr>
      <w:r>
        <w:rPr>
          <w:rFonts w:ascii="Arial" w:cs="Arial" w:eastAsia="Arial" w:hAnsi="Arial"/>
          <w:color w:val="555555"/>
          <w:sz w:val="22"/>
          <w:szCs w:val="22"/>
        </w:rPr>
        <w:t xml:space="preserve">Multiplayer Sessions: Patrons wishing to engage in collaborative/competitive environments must initiate a formal 2-Player Session (1.5x base rate) or a maximum-capacity party session for up to four operators (2.0x base rate). NOX personnel will distribute supplementary hardware interfaces at session genesis.</w:t>
      </w:r>
    </w:p>
    <w:p>
      <w:pPr>
        <w:pStyle w:val="Heading2"/>
        <w:spacing w:after="80" w:before="280"/>
      </w:pPr>
      <w:r>
        <w:rPr>
          <w:rFonts w:ascii="Arial" w:cs="Arial" w:eastAsia="Arial" w:hAnsi="Arial"/>
          <w:b/>
          <w:bCs/>
          <w:color w:val="1A1A1A"/>
          <w:sz w:val="24"/>
          <w:szCs w:val="24"/>
        </w:rPr>
        <w:t xml:space="preserve">Section 6.02 — Progressive Behavioral Escalation Matrix</w:t>
      </w:r>
    </w:p>
    <w:p>
      <w:pPr>
        <w:pStyle w:val="ListParagraph"/>
        <w:numPr>
          <w:ilvl w:val="0"/>
          <w:numId w:val="3"/>
        </w:numPr>
        <w:spacing w:after="60" w:before="60"/>
      </w:pPr>
      <w:r>
        <w:rPr>
          <w:rFonts w:ascii="Arial" w:cs="Arial" w:eastAsia="Arial" w:hAnsi="Arial"/>
          <w:color w:val="555555"/>
          <w:sz w:val="22"/>
          <w:szCs w:val="22"/>
        </w:rPr>
        <w:t xml:space="preserve">"Please exercise gentleness with the hardware / kindly reduce your vocal amplitude." — Initial Verbal Warning.</w:t>
      </w:r>
    </w:p>
    <w:p>
      <w:pPr>
        <w:pStyle w:val="ListParagraph"/>
        <w:numPr>
          <w:ilvl w:val="0"/>
          <w:numId w:val="3"/>
        </w:numPr>
        <w:spacing w:after="60" w:before="60"/>
      </w:pPr>
      <w:r>
        <w:rPr>
          <w:rFonts w:ascii="Arial" w:cs="Arial" w:eastAsia="Arial" w:hAnsi="Arial"/>
          <w:color w:val="555555"/>
          <w:sz w:val="22"/>
          <w:szCs w:val="22"/>
        </w:rPr>
        <w:t xml:space="preserve">"We require you to immediately de-escalate your behavior, or this session will face permanent termination." — Temporal Pause &amp; Final Ultimatum. Session timer is manually halted during this period.</w:t>
      </w:r>
    </w:p>
    <w:p>
      <w:pPr>
        <w:pStyle w:val="ListParagraph"/>
        <w:numPr>
          <w:ilvl w:val="0"/>
          <w:numId w:val="3"/>
        </w:numPr>
        <w:spacing w:after="60" w:before="60"/>
      </w:pPr>
      <w:r>
        <w:rPr>
          <w:rFonts w:ascii="Arial" w:cs="Arial" w:eastAsia="Arial" w:hAnsi="Arial"/>
          <w:color w:val="555555"/>
          <w:sz w:val="22"/>
          <w:szCs w:val="22"/>
        </w:rPr>
        <w:t xml:space="preserve">Complete Session Termination: Instantaneous physical removal from the facility premises, accompanied by total forfeiture of all remaining funds.</w:t>
      </w:r>
    </w:p>
    <w:p>
      <w:pPr>
        <w:pStyle w:val="Heading2"/>
        <w:spacing w:after="80" w:before="280"/>
      </w:pPr>
      <w:r>
        <w:rPr>
          <w:rFonts w:ascii="Arial" w:cs="Arial" w:eastAsia="Arial" w:hAnsi="Arial"/>
          <w:b/>
          <w:bCs/>
          <w:color w:val="1A1A1A"/>
          <w:sz w:val="24"/>
          <w:szCs w:val="24"/>
        </w:rPr>
        <w:t xml:space="preserve">Section 6.03 — Protocol of Last Resort (Physical Intervention)</w:t>
      </w:r>
    </w:p>
    <w:p>
      <w:pPr>
        <w:spacing w:after="80" w:before="80"/>
      </w:pPr>
      <w:r>
        <w:rPr>
          <w:rFonts w:ascii="Arial" w:cs="Arial" w:eastAsia="Arial" w:hAnsi="Arial"/>
          <w:color w:val="555555"/>
          <w:sz w:val="22"/>
          <w:szCs w:val="22"/>
        </w:rPr>
        <w:t xml:space="preserve">NOX staff are authorized to initiate direct physical intervention only within the narrow window of imminent, catastrophic equipment destruction (e.g., an observable wind-up preceding the high-velocity projection of a controller). In such scenarios, staff will issue a loud verbal warning before seizing the controller, instantaneously terminating the session with zero refund. Regional law enforcement will be summoned if the hostile entity refuses to vacate.</w:t>
      </w:r>
    </w:p>
    <w:p>
      <w:pPr>
        <w:spacing w:after="80" w:before="80"/>
      </w:pPr>
      <w:r>
        <w:t xml:space="preserve"/>
      </w:r>
    </w:p>
    <w:p>
      <w:pPr>
        <w:spacing w:after="80" w:before="80"/>
      </w:pPr>
      <w:r>
        <w:rPr>
          <w:rFonts w:ascii="Arial" w:cs="Arial" w:eastAsia="Arial" w:hAnsi="Arial"/>
          <w:color w:val="555555"/>
          <w:sz w:val="22"/>
          <w:szCs w:val="22"/>
        </w:rPr>
        <w:t xml:space="preserve">If a patron in VR refuses verbal instructions to remove the headset, the session timer will be immediately halted and the session considered permanently terminated. No refund will be issued for remaining time. Staff are prohibited from forcefully removing VR optics to prevent severe cervical spinal injuries.</w:t>
      </w:r>
    </w:p>
    <w:p>
      <w:pPr>
        <w:spacing w:after="80" w:before="80"/>
      </w:pPr>
      <w:r>
        <w:t xml:space="preserve"/>
      </w:r>
    </w:p>
    <w:p>
      <w:pPr>
        <w:spacing w:after="60" w:before="120"/>
      </w:pPr>
      <w:r>
        <w:rPr>
          <w:rFonts w:ascii="Arial" w:cs="Arial" w:eastAsia="Arial" w:hAnsi="Arial"/>
          <w:b/>
          <w:bCs/>
          <w:color w:val="1A1A1A"/>
          <w:sz w:val="22"/>
          <w:szCs w:val="22"/>
        </w:rPr>
        <w:t xml:space="preserve">Strict Internal Mandate — Staff are prohibited from:</w:t>
      </w:r>
    </w:p>
    <w:p>
      <w:pPr>
        <w:pStyle w:val="ListParagraph"/>
        <w:numPr>
          <w:ilvl w:val="0"/>
          <w:numId w:val="2"/>
        </w:numPr>
        <w:spacing w:after="60" w:before="60"/>
      </w:pPr>
      <w:r>
        <w:rPr>
          <w:rFonts w:ascii="Arial" w:cs="Arial" w:eastAsia="Arial" w:hAnsi="Arial"/>
          <w:color w:val="555555"/>
          <w:sz w:val="22"/>
          <w:szCs w:val="22"/>
        </w:rPr>
        <w:t xml:space="preserve">Aggressively wrenching controllers from patrons engaged in standard, safe gameplay.</w:t>
      </w:r>
    </w:p>
    <w:p>
      <w:pPr>
        <w:pStyle w:val="ListParagraph"/>
        <w:numPr>
          <w:ilvl w:val="0"/>
          <w:numId w:val="2"/>
        </w:numPr>
        <w:spacing w:after="60" w:before="60"/>
      </w:pPr>
      <w:r>
        <w:rPr>
          <w:rFonts w:ascii="Arial" w:cs="Arial" w:eastAsia="Arial" w:hAnsi="Arial"/>
          <w:color w:val="555555"/>
          <w:sz w:val="22"/>
          <w:szCs w:val="22"/>
        </w:rPr>
        <w:t xml:space="preserve">Forcefully removing Virtual Reality optics from patrons (to prevent severe cervical spinal injuries).</w:t>
      </w:r>
    </w:p>
    <w:p>
      <w:pPr>
        <w:pStyle w:val="ListParagraph"/>
        <w:numPr>
          <w:ilvl w:val="0"/>
          <w:numId w:val="2"/>
        </w:numPr>
        <w:spacing w:after="60" w:before="60"/>
      </w:pPr>
      <w:r>
        <w:rPr>
          <w:rFonts w:ascii="Arial" w:cs="Arial" w:eastAsia="Arial" w:hAnsi="Arial"/>
          <w:color w:val="555555"/>
          <w:sz w:val="22"/>
          <w:szCs w:val="22"/>
        </w:rPr>
        <w:t xml:space="preserve">Initiating unnecessary physical contact with a patron's person.</w:t>
      </w:r>
    </w:p>
    <w:p>
      <w:pPr>
        <w:pStyle w:val="Heading1"/>
        <w:pBdr>
          <w:bottom w:val="single" w:color="1A3A6B" w:sz="6" w:space="4"/>
        </w:pBdr>
        <w:spacing w:after="120" w:before="400"/>
      </w:pPr>
      <w:r>
        <w:rPr>
          <w:rFonts w:ascii="Arial" w:cs="Arial" w:eastAsia="Arial" w:hAnsi="Arial"/>
          <w:b/>
          <w:bCs/>
          <w:color w:val="1A3A6B"/>
          <w:sz w:val="28"/>
          <w:szCs w:val="28"/>
        </w:rPr>
        <w:t xml:space="preserve">Article VII: Liability Waivers, Privacy &amp; Asset Recovery</w:t>
      </w:r>
    </w:p>
    <w:p>
      <w:pPr>
        <w:pStyle w:val="Heading2"/>
        <w:spacing w:after="80" w:before="280"/>
      </w:pPr>
      <w:r>
        <w:rPr>
          <w:rFonts w:ascii="Arial" w:cs="Arial" w:eastAsia="Arial" w:hAnsi="Arial"/>
          <w:b/>
          <w:bCs/>
          <w:color w:val="1A1A1A"/>
          <w:sz w:val="24"/>
          <w:szCs w:val="24"/>
        </w:rPr>
        <w:t xml:space="preserve">Section 7.01 — Unconditional Assumption of Risk</w:t>
      </w:r>
    </w:p>
    <w:p>
      <w:pPr>
        <w:spacing w:after="80" w:before="80"/>
      </w:pPr>
      <w:r>
        <w:rPr>
          <w:rFonts w:ascii="Arial" w:cs="Arial" w:eastAsia="Arial" w:hAnsi="Arial"/>
          <w:color w:val="555555"/>
          <w:sz w:val="22"/>
          <w:szCs w:val="22"/>
        </w:rPr>
        <w:t xml:space="preserve">The patron unconditionally assumes all risk profiles associated with hardware engagement, including but not limited to:</w:t>
      </w:r>
    </w:p>
    <w:p>
      <w:pPr>
        <w:pStyle w:val="ListParagraph"/>
        <w:numPr>
          <w:ilvl w:val="0"/>
          <w:numId w:val="2"/>
        </w:numPr>
        <w:spacing w:after="60" w:before="60"/>
      </w:pPr>
      <w:r>
        <w:rPr>
          <w:rFonts w:ascii="Arial" w:cs="Arial" w:eastAsia="Arial" w:hAnsi="Arial"/>
          <w:color w:val="555555"/>
          <w:sz w:val="22"/>
          <w:szCs w:val="22"/>
        </w:rPr>
        <w:t xml:space="preserve">Severe motion sickness induced by Virtual Reality immersion (patrons are thoroughly warned prior to session genesis).</w:t>
      </w:r>
    </w:p>
    <w:p>
      <w:pPr>
        <w:pStyle w:val="ListParagraph"/>
        <w:numPr>
          <w:ilvl w:val="0"/>
          <w:numId w:val="2"/>
        </w:numPr>
        <w:spacing w:after="60" w:before="60"/>
      </w:pPr>
      <w:r>
        <w:rPr>
          <w:rFonts w:ascii="Arial" w:cs="Arial" w:eastAsia="Arial" w:hAnsi="Arial"/>
          <w:color w:val="555555"/>
          <w:sz w:val="22"/>
          <w:szCs w:val="22"/>
        </w:rPr>
        <w:t xml:space="preserve">Intense muscular fatigue resulting from protracted simulation engagement.</w:t>
      </w:r>
    </w:p>
    <w:p>
      <w:pPr>
        <w:pStyle w:val="ListParagraph"/>
        <w:numPr>
          <w:ilvl w:val="0"/>
          <w:numId w:val="2"/>
        </w:numPr>
        <w:spacing w:after="60" w:before="60"/>
      </w:pPr>
      <w:r>
        <w:rPr>
          <w:rFonts w:ascii="Arial" w:cs="Arial" w:eastAsia="Arial" w:hAnsi="Arial"/>
          <w:color w:val="555555"/>
          <w:sz w:val="22"/>
          <w:szCs w:val="22"/>
        </w:rPr>
        <w:t xml:space="preserve">Kinetic tripping hazards over clearly demarcated cabling infrastructures.</w:t>
      </w:r>
    </w:p>
    <w:p>
      <w:pPr>
        <w:pStyle w:val="ListParagraph"/>
        <w:numPr>
          <w:ilvl w:val="0"/>
          <w:numId w:val="2"/>
        </w:numPr>
        <w:spacing w:after="60" w:before="60"/>
      </w:pPr>
      <w:r>
        <w:rPr>
          <w:rFonts w:ascii="Arial" w:cs="Arial" w:eastAsia="Arial" w:hAnsi="Arial"/>
          <w:color w:val="555555"/>
          <w:sz w:val="22"/>
          <w:szCs w:val="22"/>
        </w:rPr>
        <w:t xml:space="preserve">Any self-inflicted injuries born from reckless or uncoordinated physical behavior.</w:t>
      </w:r>
    </w:p>
    <w:p>
      <w:pPr>
        <w:spacing w:after="80" w:before="80"/>
      </w:pPr>
      <w:r>
        <w:t xml:space="preserve"/>
      </w:r>
    </w:p>
    <w:p>
      <w:pPr>
        <w:spacing w:after="80" w:before="80"/>
      </w:pPr>
      <w:r>
        <w:rPr>
          <w:rFonts w:ascii="Arial" w:cs="Arial" w:eastAsia="Arial" w:hAnsi="Arial"/>
          <w:color w:val="555555"/>
          <w:sz w:val="22"/>
          <w:szCs w:val="22"/>
        </w:rPr>
        <w:t xml:space="preserve">To counter these risks, NOX maintains rigorous hardware inspections, enforces defined VR spatial boundaries, stations comprehensive first aid arrays within the facility, and collects emergency contact data at initial patron sign-in.</w:t>
      </w:r>
    </w:p>
    <w:p>
      <w:pPr>
        <w:pStyle w:val="Heading2"/>
        <w:spacing w:after="80" w:before="280"/>
      </w:pPr>
      <w:r>
        <w:rPr>
          <w:rFonts w:ascii="Arial" w:cs="Arial" w:eastAsia="Arial" w:hAnsi="Arial"/>
          <w:b/>
          <w:bCs/>
          <w:color w:val="1A1A1A"/>
          <w:sz w:val="24"/>
          <w:szCs w:val="24"/>
        </w:rPr>
        <w:t xml:space="preserve">Section 7.02 — Observation &amp; Media Distribution Rights</w:t>
      </w:r>
    </w:p>
    <w:p>
      <w:pPr>
        <w:pStyle w:val="ListParagraph"/>
        <w:numPr>
          <w:ilvl w:val="0"/>
          <w:numId w:val="2"/>
        </w:numPr>
        <w:spacing w:after="60" w:before="60"/>
      </w:pPr>
      <w:r>
        <w:rPr>
          <w:rFonts w:ascii="Arial" w:cs="Arial" w:eastAsia="Arial" w:hAnsi="Arial"/>
          <w:color w:val="555555"/>
          <w:sz w:val="22"/>
          <w:szCs w:val="22"/>
        </w:rPr>
        <w:t xml:space="preserve">Corporate Marketing: During the sign-in sequence, all patrons will be presented with a voluntary opt-in checkbox querying: "May we capture and distribute visual media of your gaming engagement across our social media channels?"</w:t>
      </w:r>
    </w:p>
    <w:p>
      <w:pPr>
        <w:pStyle w:val="ListParagraph"/>
        <w:numPr>
          <w:ilvl w:val="0"/>
          <w:numId w:val="2"/>
        </w:numPr>
        <w:spacing w:after="60" w:before="60"/>
      </w:pPr>
      <w:r>
        <w:rPr>
          <w:rFonts w:ascii="Arial" w:cs="Arial" w:eastAsia="Arial" w:hAnsi="Arial"/>
          <w:color w:val="555555"/>
          <w:sz w:val="22"/>
          <w:szCs w:val="22"/>
        </w:rPr>
        <w:t xml:space="preserve">Peer-to-Peer Recording: Operators may record exclusively their own personal gameplay. Recording non-consenting patrons is a gross protocol violation and may result in immediate session termination. NOX staff retain the authority to order immediate cessation of any recording deemed disruptive or invasive.</w:t>
      </w:r>
    </w:p>
    <w:p>
      <w:pPr>
        <w:pStyle w:val="Heading2"/>
        <w:spacing w:after="80" w:before="280"/>
      </w:pPr>
      <w:r>
        <w:rPr>
          <w:rFonts w:ascii="Arial" w:cs="Arial" w:eastAsia="Arial" w:hAnsi="Arial"/>
          <w:b/>
          <w:bCs/>
          <w:color w:val="1A1A1A"/>
          <w:sz w:val="24"/>
          <w:szCs w:val="24"/>
        </w:rPr>
        <w:t xml:space="preserve">Section 7.03 — Asset Recovery &amp; Lost Property</w:t>
      </w:r>
    </w:p>
    <w:p>
      <w:pPr>
        <w:pStyle w:val="ListParagraph"/>
        <w:numPr>
          <w:ilvl w:val="0"/>
          <w:numId w:val="2"/>
        </w:numPr>
        <w:spacing w:after="60" w:before="60"/>
      </w:pPr>
      <w:r>
        <w:rPr>
          <w:rFonts w:ascii="Arial" w:cs="Arial" w:eastAsia="Arial" w:hAnsi="Arial"/>
          <w:color w:val="555555"/>
          <w:sz w:val="22"/>
          <w:szCs w:val="22"/>
        </w:rPr>
        <w:t xml:space="preserve">Asset Holding Period: Recovered personal artifacts are secured for a strict duration of 90 chronological days. Recovery requires an exhaustive physical description; high-value electronic assets additionally require matching identification documents.</w:t>
      </w:r>
    </w:p>
    <w:p>
      <w:pPr>
        <w:pStyle w:val="ListParagraph"/>
        <w:numPr>
          <w:ilvl w:val="0"/>
          <w:numId w:val="2"/>
        </w:numPr>
        <w:spacing w:after="60" w:before="60"/>
      </w:pPr>
      <w:r>
        <w:rPr>
          <w:rFonts w:ascii="Arial" w:cs="Arial" w:eastAsia="Arial" w:hAnsi="Arial"/>
          <w:color w:val="555555"/>
          <w:sz w:val="22"/>
          <w:szCs w:val="22"/>
        </w:rPr>
        <w:t xml:space="preserve">Proactive Notification: Should a recovered artifact contain accessible contact data, NOX personnel will execute an immediate telephonic notification. Unidentified artifacts will be cataloged and broadcast across NOX's social media channels.</w:t>
      </w:r>
    </w:p>
    <w:p>
      <w:pPr>
        <w:pStyle w:val="ListParagraph"/>
        <w:numPr>
          <w:ilvl w:val="0"/>
          <w:numId w:val="2"/>
        </w:numPr>
        <w:spacing w:after="60" w:before="60"/>
      </w:pPr>
      <w:r>
        <w:rPr>
          <w:rFonts w:ascii="Arial" w:cs="Arial" w:eastAsia="Arial" w:hAnsi="Arial"/>
          <w:color w:val="555555"/>
          <w:sz w:val="22"/>
          <w:szCs w:val="22"/>
        </w:rPr>
        <w:t xml:space="preserve">Post-Holding Liquidation: Upon expiration of the 90-day period, usable assets will be permanently donated to local charitable organizations. High-value electronic orphans will undergo commercial liquidation, with 100% of proceeds donated to a registered local charity. Exhaustive, transparent digital receipts will be posted across all NOX communication channels to verify ethical compliance.</w:t>
      </w:r>
    </w:p>
    <w:p>
      <w:pPr>
        <w:spacing w:after="80" w:before="80"/>
      </w:pPr>
      <w:r>
        <w:t xml:space="preserve"/>
      </w:r>
    </w:p>
    <w:p>
      <w:pPr>
        <w:spacing w:after="80" w:before="80"/>
      </w:pPr>
      <w:r>
        <w:t xml:space="preserve"/>
      </w:r>
    </w:p>
    <w:p>
      <w:pPr>
        <w:pBdr>
          <w:top w:val="single" w:color="1A3A6B" w:sz="4" w:space="8"/>
        </w:pBdr>
        <w:spacing w:after="60" w:before="200"/>
        <w:jc w:val="center"/>
      </w:pPr>
      <w:r>
        <w:rPr>
          <w:rFonts w:ascii="Arial" w:cs="Arial" w:eastAsia="Arial" w:hAnsi="Arial"/>
          <w:i/>
          <w:iCs/>
          <w:color w:val="555555"/>
          <w:sz w:val="20"/>
          <w:szCs w:val="20"/>
        </w:rPr>
        <w:t xml:space="preserve">By proceeding with your reservation, you confirm you have read, understood, and agreed to these Terms &amp; Conditions.</w:t>
      </w:r>
    </w:p>
    <w:p>
      <w:pPr>
        <w:spacing w:after="0" w:before="0"/>
        <w:jc w:val="center"/>
      </w:pPr>
      <w:r>
        <w:rPr>
          <w:rFonts w:ascii="Arial" w:cs="Arial" w:eastAsia="Arial" w:hAnsi="Arial"/>
          <w:b/>
          <w:bCs/>
          <w:color w:val="1A3A6B"/>
          <w:sz w:val="22"/>
          <w:szCs w:val="22"/>
        </w:rPr>
        <w:t xml:space="preserve">NOX Entertainment System</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A3A6B"/>
      <w:sz w:val="28"/>
      <w:szCs w:val="28"/>
    </w:rPr>
  </w:style>
  <w:style w:type="paragraph" w:styleId="Heading2">
    <w:name w:val="Heading 2"/>
    <w:basedOn w:val="Normal"/>
    <w:next w:val="Normal"/>
    <w:qFormat/>
    <w:pPr>
      <w:spacing w:after="80" w:before="280"/>
      <w:outlineLvl w:val="1"/>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2026-05-05T15:32:47.992Z</dcterms:created>
  <dcterms:modified xsi:type="dcterms:W3CDTF">2026-05-05T15:32:47.992Z</dcterms:modified>
</cp:coreProperties>
</file>

<file path=docProps/custom.xml><?xml version="1.0" encoding="utf-8"?>
<Properties xmlns="http://schemas.openxmlformats.org/officeDocument/2006/custom-properties" xmlns:vt="http://schemas.openxmlformats.org/officeDocument/2006/docPropsVTypes"/>
</file>