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C3DC7" w14:textId="77777777" w:rsidR="000C4B14" w:rsidRDefault="00000000">
      <w:pPr>
        <w:spacing w:after="205" w:line="259" w:lineRule="auto"/>
        <w:ind w:left="-5"/>
      </w:pPr>
      <w:r>
        <w:rPr>
          <w:b/>
          <w:sz w:val="28"/>
          <w:u w:val="single" w:color="000000"/>
        </w:rPr>
        <w:t>Project Title: Machine Learning Model Deployment for Student Dropout</w:t>
      </w:r>
      <w:r>
        <w:t xml:space="preserve"> </w:t>
      </w:r>
    </w:p>
    <w:p w14:paraId="2D2ADDFA" w14:textId="77777777" w:rsidR="000C4B14" w:rsidRDefault="00000000">
      <w:pPr>
        <w:spacing w:after="0" w:line="647" w:lineRule="auto"/>
        <w:ind w:left="-5" w:right="3516"/>
      </w:pPr>
      <w:r>
        <w:rPr>
          <w:b/>
          <w:sz w:val="28"/>
          <w:u w:val="single" w:color="000000"/>
        </w:rPr>
        <w:t>Analysis with IBM Cloud Watson Studio</w:t>
      </w:r>
      <w:r>
        <w:rPr>
          <w:b/>
          <w:sz w:val="28"/>
        </w:rPr>
        <w:t xml:space="preserve"> </w:t>
      </w:r>
      <w:r>
        <w:rPr>
          <w:b/>
          <w:sz w:val="28"/>
          <w:u w:val="single" w:color="000000"/>
        </w:rPr>
        <w:t>Problem Definition:</w:t>
      </w:r>
      <w:r>
        <w:t xml:space="preserve"> </w:t>
      </w:r>
    </w:p>
    <w:p w14:paraId="60927BC3" w14:textId="77777777" w:rsidR="000C4B14" w:rsidRDefault="00000000">
      <w:pPr>
        <w:spacing w:after="355" w:line="419" w:lineRule="auto"/>
        <w:ind w:left="5" w:right="96" w:hanging="20"/>
      </w:pPr>
      <w:r>
        <w:rPr>
          <w:sz w:val="26"/>
        </w:rPr>
        <w:t>Student dropout rates in educational institutions have become a significant concern. Institutions invest substantial resources in nurturing students' potential, and when students drop out, it not only affects their futures but also leads to the underutilization of educational resources.</w:t>
      </w:r>
      <w:r>
        <w:t xml:space="preserve"> </w:t>
      </w:r>
    </w:p>
    <w:p w14:paraId="6EA2CDAA" w14:textId="77777777" w:rsidR="000C4B14" w:rsidRDefault="00000000">
      <w:pPr>
        <w:spacing w:after="335" w:line="259" w:lineRule="auto"/>
        <w:ind w:left="14" w:firstLine="0"/>
      </w:pPr>
      <w:r>
        <w:rPr>
          <w:b/>
          <w:sz w:val="28"/>
        </w:rPr>
        <w:t>Phase 2: Innovation - Transforming Design into Solution</w:t>
      </w:r>
      <w:r>
        <w:t xml:space="preserve"> </w:t>
      </w:r>
    </w:p>
    <w:p w14:paraId="76B8ED30" w14:textId="77777777" w:rsidR="000C4B14" w:rsidRDefault="00000000">
      <w:pPr>
        <w:spacing w:after="0" w:line="312" w:lineRule="auto"/>
        <w:ind w:left="5" w:right="96" w:hanging="20"/>
      </w:pPr>
      <w:r>
        <w:rPr>
          <w:sz w:val="26"/>
        </w:rPr>
        <w:t>In Phase 1, we laid the foundation for addressing the critical issue of high student dropout rates through predictive analytics. Now, in Phase 2, we embark on the transformative journey of turning our design into a practical, effective, and data-driven solution, leveraging the capabilities of IBM Cloud Watson Studio.</w:t>
      </w:r>
      <w:r>
        <w:t xml:space="preserve"> </w:t>
      </w:r>
    </w:p>
    <w:p w14:paraId="2F704326" w14:textId="77777777" w:rsidR="000C4B14" w:rsidRDefault="00000000">
      <w:pPr>
        <w:spacing w:after="0" w:line="259" w:lineRule="auto"/>
        <w:ind w:left="0" w:right="3645" w:firstLine="0"/>
        <w:jc w:val="center"/>
      </w:pPr>
      <w:r>
        <w:rPr>
          <w:noProof/>
        </w:rPr>
        <w:drawing>
          <wp:inline distT="0" distB="0" distL="0" distR="0" wp14:anchorId="1B552359" wp14:editId="2C39BF50">
            <wp:extent cx="3602355" cy="3535299"/>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3602355" cy="3535299"/>
                    </a:xfrm>
                    <a:prstGeom prst="rect">
                      <a:avLst/>
                    </a:prstGeom>
                  </pic:spPr>
                </pic:pic>
              </a:graphicData>
            </a:graphic>
          </wp:inline>
        </w:drawing>
      </w:r>
      <w:r>
        <w:t xml:space="preserve"> </w:t>
      </w:r>
    </w:p>
    <w:p w14:paraId="00CCD443" w14:textId="77777777" w:rsidR="000C4B14" w:rsidRDefault="00000000">
      <w:pPr>
        <w:spacing w:after="70" w:line="265" w:lineRule="auto"/>
        <w:ind w:left="-5"/>
      </w:pPr>
      <w:r>
        <w:rPr>
          <w:b/>
          <w:u w:val="single" w:color="000000"/>
        </w:rPr>
        <w:lastRenderedPageBreak/>
        <w:t>Proposed Methodology:</w:t>
      </w:r>
      <w:r>
        <w:t xml:space="preserve"> </w:t>
      </w:r>
    </w:p>
    <w:p w14:paraId="4CF7BE71" w14:textId="77777777" w:rsidR="000C4B14" w:rsidRDefault="00000000">
      <w:pPr>
        <w:spacing w:after="466" w:line="259" w:lineRule="auto"/>
        <w:ind w:left="0" w:firstLine="0"/>
        <w:jc w:val="right"/>
      </w:pPr>
      <w:r>
        <w:rPr>
          <w:noProof/>
        </w:rPr>
        <w:drawing>
          <wp:inline distT="0" distB="0" distL="0" distR="0" wp14:anchorId="3E6D1975" wp14:editId="7A767C96">
            <wp:extent cx="5943600" cy="3990975"/>
            <wp:effectExtent l="0" t="0" r="0" b="0"/>
            <wp:docPr id="92" name="Picture 92"/>
            <wp:cNvGraphicFramePr/>
            <a:graphic xmlns:a="http://schemas.openxmlformats.org/drawingml/2006/main">
              <a:graphicData uri="http://schemas.openxmlformats.org/drawingml/2006/picture">
                <pic:pic xmlns:pic="http://schemas.openxmlformats.org/drawingml/2006/picture">
                  <pic:nvPicPr>
                    <pic:cNvPr id="92" name="Picture 92"/>
                    <pic:cNvPicPr/>
                  </pic:nvPicPr>
                  <pic:blipFill>
                    <a:blip r:embed="rId8"/>
                    <a:stretch>
                      <a:fillRect/>
                    </a:stretch>
                  </pic:blipFill>
                  <pic:spPr>
                    <a:xfrm>
                      <a:off x="0" y="0"/>
                      <a:ext cx="5943600" cy="3990975"/>
                    </a:xfrm>
                    <a:prstGeom prst="rect">
                      <a:avLst/>
                    </a:prstGeom>
                  </pic:spPr>
                </pic:pic>
              </a:graphicData>
            </a:graphic>
          </wp:inline>
        </w:drawing>
      </w:r>
      <w:r>
        <w:t xml:space="preserve"> </w:t>
      </w:r>
    </w:p>
    <w:p w14:paraId="5751E66B" w14:textId="77777777" w:rsidR="000C4B14" w:rsidRDefault="00000000">
      <w:pPr>
        <w:pStyle w:val="Heading1"/>
        <w:ind w:left="-5"/>
      </w:pPr>
      <w:r>
        <w:t>Step 1: Comprehensive Data Collection and Integration</w:t>
      </w:r>
      <w:r>
        <w:rPr>
          <w:u w:val="none"/>
        </w:rPr>
        <w:t xml:space="preserve"> </w:t>
      </w:r>
    </w:p>
    <w:p w14:paraId="7C01755A" w14:textId="77777777" w:rsidR="000C4B14" w:rsidRDefault="00000000">
      <w:pPr>
        <w:ind w:left="9" w:right="94"/>
      </w:pPr>
      <w:r>
        <w:t xml:space="preserve">Our journey begins with a deep dive into data collection and integration. The comprehensive dataset may include: </w:t>
      </w:r>
    </w:p>
    <w:p w14:paraId="5EFFFFC5" w14:textId="77777777" w:rsidR="000C4B14" w:rsidRDefault="00000000">
      <w:pPr>
        <w:numPr>
          <w:ilvl w:val="0"/>
          <w:numId w:val="1"/>
        </w:numPr>
        <w:spacing w:after="108" w:line="259" w:lineRule="auto"/>
        <w:ind w:right="94" w:hanging="139"/>
      </w:pPr>
      <w:r>
        <w:rPr>
          <w:b/>
        </w:rPr>
        <w:t xml:space="preserve">Academic Records: </w:t>
      </w:r>
      <w:r>
        <w:t xml:space="preserve">Historical grades, course enrollments, and academic performance metrics. </w:t>
      </w:r>
    </w:p>
    <w:p w14:paraId="1E040EFF" w14:textId="77777777" w:rsidR="000C4B14" w:rsidRDefault="00000000">
      <w:pPr>
        <w:numPr>
          <w:ilvl w:val="0"/>
          <w:numId w:val="1"/>
        </w:numPr>
        <w:spacing w:after="109" w:line="259" w:lineRule="auto"/>
        <w:ind w:right="94" w:hanging="139"/>
      </w:pPr>
      <w:r>
        <w:rPr>
          <w:b/>
        </w:rPr>
        <w:t xml:space="preserve">Attendance Data: </w:t>
      </w:r>
      <w:r>
        <w:t xml:space="preserve">Records of students' attendance and patterns of attendance. </w:t>
      </w:r>
    </w:p>
    <w:p w14:paraId="1CC00BBB" w14:textId="77777777" w:rsidR="000C4B14" w:rsidRDefault="00000000">
      <w:pPr>
        <w:numPr>
          <w:ilvl w:val="0"/>
          <w:numId w:val="1"/>
        </w:numPr>
        <w:spacing w:after="19"/>
        <w:ind w:right="94" w:hanging="139"/>
      </w:pPr>
      <w:r>
        <w:rPr>
          <w:b/>
        </w:rPr>
        <w:t xml:space="preserve">Demographic Information: </w:t>
      </w:r>
      <w:r>
        <w:t xml:space="preserve">Socio-economic background, gender, age, and residential details. </w:t>
      </w:r>
      <w:r>
        <w:rPr>
          <w:b/>
        </w:rPr>
        <w:t xml:space="preserve">- Behavioral Data: </w:t>
      </w:r>
      <w:r>
        <w:t xml:space="preserve">Any available records of behavioral incidents, helping us identify potential patterns. </w:t>
      </w:r>
    </w:p>
    <w:p w14:paraId="0E8EB62A" w14:textId="77777777" w:rsidR="000C4B14" w:rsidRDefault="00000000">
      <w:pPr>
        <w:numPr>
          <w:ilvl w:val="0"/>
          <w:numId w:val="1"/>
        </w:numPr>
        <w:ind w:right="94" w:hanging="139"/>
      </w:pPr>
      <w:r>
        <w:rPr>
          <w:b/>
        </w:rPr>
        <w:t xml:space="preserve">Extracurricular Activities: </w:t>
      </w:r>
      <w:r>
        <w:t xml:space="preserve">Information on students' participation in sports, clubs, volunteer work, and other activities. </w:t>
      </w:r>
    </w:p>
    <w:p w14:paraId="13EF29B3" w14:textId="77777777" w:rsidR="000C4B14" w:rsidRDefault="00000000">
      <w:pPr>
        <w:spacing w:after="412" w:line="259" w:lineRule="auto"/>
        <w:ind w:left="0" w:right="811" w:firstLine="0"/>
        <w:jc w:val="right"/>
      </w:pPr>
      <w:r>
        <w:rPr>
          <w:noProof/>
        </w:rPr>
        <w:lastRenderedPageBreak/>
        <w:drawing>
          <wp:inline distT="0" distB="0" distL="0" distR="0" wp14:anchorId="2E967397" wp14:editId="5CDD2D50">
            <wp:extent cx="5429250" cy="3438525"/>
            <wp:effectExtent l="0" t="0" r="0" b="0"/>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9"/>
                    <a:stretch>
                      <a:fillRect/>
                    </a:stretch>
                  </pic:blipFill>
                  <pic:spPr>
                    <a:xfrm>
                      <a:off x="0" y="0"/>
                      <a:ext cx="5429250" cy="3438525"/>
                    </a:xfrm>
                    <a:prstGeom prst="rect">
                      <a:avLst/>
                    </a:prstGeom>
                  </pic:spPr>
                </pic:pic>
              </a:graphicData>
            </a:graphic>
          </wp:inline>
        </w:drawing>
      </w:r>
      <w:r>
        <w:t xml:space="preserve"> </w:t>
      </w:r>
    </w:p>
    <w:p w14:paraId="591F7398" w14:textId="77777777" w:rsidR="000C4B14" w:rsidRDefault="00000000">
      <w:pPr>
        <w:ind w:left="9" w:right="94"/>
      </w:pPr>
      <w:r>
        <w:t xml:space="preserve">The collected data undergoes meticulous cleaning, transformation, and integration to ensure that it forms a unified and coherent dataset. This step is essential to empower our predictive model with diverse features for accurate analysis. </w:t>
      </w:r>
    </w:p>
    <w:p w14:paraId="26A27792" w14:textId="77777777" w:rsidR="000C4B14" w:rsidRDefault="00000000">
      <w:pPr>
        <w:spacing w:after="414" w:line="265" w:lineRule="auto"/>
        <w:ind w:left="-5"/>
      </w:pPr>
      <w:r>
        <w:rPr>
          <w:b/>
          <w:u w:val="single" w:color="000000"/>
        </w:rPr>
        <w:t>SAMPLE DATASETS AVAILABLE ON KAGGLE:</w:t>
      </w:r>
      <w:r>
        <w:t xml:space="preserve"> </w:t>
      </w:r>
    </w:p>
    <w:p w14:paraId="41D1DE5A" w14:textId="77777777" w:rsidR="000C4B14" w:rsidRDefault="00000000">
      <w:pPr>
        <w:spacing w:after="403" w:line="281" w:lineRule="auto"/>
        <w:ind w:left="-5"/>
      </w:pPr>
      <w:hyperlink r:id="rId10">
        <w:r>
          <w:rPr>
            <w:b/>
            <w:color w:val="1155CC"/>
            <w:u w:val="single" w:color="1155CC"/>
          </w:rPr>
          <w:t>Student</w:t>
        </w:r>
      </w:hyperlink>
      <w:hyperlink r:id="rId11">
        <w:r>
          <w:rPr>
            <w:b/>
            <w:color w:val="1155CC"/>
            <w:u w:val="single" w:color="1155CC"/>
          </w:rPr>
          <w:t xml:space="preserve"> </w:t>
        </w:r>
      </w:hyperlink>
      <w:hyperlink r:id="rId12">
        <w:r>
          <w:rPr>
            <w:b/>
            <w:color w:val="1155CC"/>
            <w:u w:val="single" w:color="1155CC"/>
          </w:rPr>
          <w:t>Dropout</w:t>
        </w:r>
      </w:hyperlink>
      <w:hyperlink r:id="rId13">
        <w:r>
          <w:rPr>
            <w:b/>
            <w:color w:val="1155CC"/>
            <w:u w:val="single" w:color="1155CC"/>
          </w:rPr>
          <w:t xml:space="preserve"> </w:t>
        </w:r>
      </w:hyperlink>
      <w:hyperlink r:id="rId14">
        <w:r>
          <w:rPr>
            <w:b/>
            <w:color w:val="1155CC"/>
            <w:u w:val="single" w:color="1155CC"/>
          </w:rPr>
          <w:t>Prediction</w:t>
        </w:r>
      </w:hyperlink>
      <w:hyperlink r:id="rId15">
        <w:r>
          <w:rPr>
            <w:b/>
            <w:color w:val="1155CC"/>
            <w:u w:val="single" w:color="1155CC"/>
          </w:rPr>
          <w:t xml:space="preserve"> |</w:t>
        </w:r>
      </w:hyperlink>
      <w:hyperlink r:id="rId16">
        <w:r>
          <w:rPr>
            <w:b/>
            <w:color w:val="1155CC"/>
            <w:u w:val="single" w:color="1155CC"/>
          </w:rPr>
          <w:t xml:space="preserve"> </w:t>
        </w:r>
      </w:hyperlink>
      <w:hyperlink r:id="rId17">
        <w:r>
          <w:rPr>
            <w:b/>
            <w:color w:val="1155CC"/>
            <w:u w:val="single" w:color="1155CC"/>
          </w:rPr>
          <w:t>Kaggle</w:t>
        </w:r>
      </w:hyperlink>
      <w:hyperlink r:id="rId18">
        <w:r>
          <w:rPr>
            <w:b/>
            <w:color w:val="1155CC"/>
            <w:u w:val="single" w:color="1155CC"/>
          </w:rPr>
          <w:t xml:space="preserve"> -</w:t>
        </w:r>
      </w:hyperlink>
      <w:hyperlink r:id="rId19">
        <w:r>
          <w:rPr>
            <w:b/>
            <w:color w:val="1155CC"/>
            <w:u w:val="single" w:color="1155CC"/>
          </w:rPr>
          <w:t xml:space="preserve"> </w:t>
        </w:r>
      </w:hyperlink>
      <w:hyperlink r:id="rId20">
        <w:r>
          <w:rPr>
            <w:b/>
            <w:color w:val="1155CC"/>
            <w:u w:val="single" w:color="1155CC"/>
          </w:rPr>
          <w:t>Sample</w:t>
        </w:r>
      </w:hyperlink>
      <w:hyperlink r:id="rId21">
        <w:r>
          <w:rPr>
            <w:b/>
            <w:color w:val="1155CC"/>
            <w:u w:val="single" w:color="1155CC"/>
          </w:rPr>
          <w:t xml:space="preserve"> </w:t>
        </w:r>
      </w:hyperlink>
      <w:hyperlink r:id="rId22">
        <w:r>
          <w:rPr>
            <w:b/>
            <w:color w:val="1155CC"/>
            <w:u w:val="single" w:color="1155CC"/>
          </w:rPr>
          <w:t>Datasets</w:t>
        </w:r>
      </w:hyperlink>
      <w:hyperlink r:id="rId23">
        <w:r>
          <w:t xml:space="preserve"> </w:t>
        </w:r>
      </w:hyperlink>
    </w:p>
    <w:p w14:paraId="2B4BF305" w14:textId="77777777" w:rsidR="000C4B14" w:rsidRDefault="00000000">
      <w:pPr>
        <w:spacing w:after="403" w:line="281" w:lineRule="auto"/>
        <w:ind w:left="-5"/>
      </w:pPr>
      <w:hyperlink r:id="rId24">
        <w:r>
          <w:rPr>
            <w:b/>
            <w:color w:val="1155CC"/>
            <w:u w:val="single" w:color="1155CC"/>
          </w:rPr>
          <w:t>"DONATED</w:t>
        </w:r>
      </w:hyperlink>
      <w:hyperlink r:id="rId25">
        <w:r>
          <w:rPr>
            <w:b/>
            <w:color w:val="1155CC"/>
            <w:u w:val="single" w:color="1155CC"/>
          </w:rPr>
          <w:t xml:space="preserve"> </w:t>
        </w:r>
      </w:hyperlink>
      <w:hyperlink r:id="rId26">
        <w:r>
          <w:rPr>
            <w:b/>
            <w:color w:val="1155CC"/>
            <w:u w:val="single" w:color="1155CC"/>
          </w:rPr>
          <w:t>DATASETS</w:t>
        </w:r>
      </w:hyperlink>
      <w:hyperlink r:id="rId27">
        <w:r>
          <w:rPr>
            <w:b/>
            <w:color w:val="1155CC"/>
            <w:u w:val="single" w:color="1155CC"/>
          </w:rPr>
          <w:t xml:space="preserve"> </w:t>
        </w:r>
      </w:hyperlink>
      <w:hyperlink r:id="rId28">
        <w:r>
          <w:rPr>
            <w:b/>
            <w:color w:val="1155CC"/>
            <w:u w:val="single" w:color="1155CC"/>
          </w:rPr>
          <w:t>ON</w:t>
        </w:r>
      </w:hyperlink>
      <w:hyperlink r:id="rId29">
        <w:r>
          <w:rPr>
            <w:b/>
            <w:color w:val="1155CC"/>
            <w:u w:val="single" w:color="1155CC"/>
          </w:rPr>
          <w:t xml:space="preserve"> </w:t>
        </w:r>
      </w:hyperlink>
      <w:hyperlink r:id="rId30">
        <w:r>
          <w:rPr>
            <w:b/>
            <w:color w:val="1155CC"/>
            <w:u w:val="single" w:color="1155CC"/>
          </w:rPr>
          <w:t>UC</w:t>
        </w:r>
      </w:hyperlink>
      <w:hyperlink r:id="rId31">
        <w:r>
          <w:rPr>
            <w:b/>
            <w:color w:val="1155CC"/>
            <w:u w:val="single" w:color="1155CC"/>
          </w:rPr>
          <w:t xml:space="preserve"> </w:t>
        </w:r>
      </w:hyperlink>
      <w:hyperlink r:id="rId32">
        <w:r>
          <w:rPr>
            <w:b/>
            <w:color w:val="1155CC"/>
            <w:u w:val="single" w:color="1155CC"/>
          </w:rPr>
          <w:t>IRVINE</w:t>
        </w:r>
      </w:hyperlink>
      <w:hyperlink r:id="rId33">
        <w:r>
          <w:rPr>
            <w:b/>
            <w:color w:val="1155CC"/>
            <w:u w:val="single" w:color="1155CC"/>
          </w:rPr>
          <w:t xml:space="preserve"> </w:t>
        </w:r>
      </w:hyperlink>
      <w:hyperlink r:id="rId34">
        <w:r>
          <w:rPr>
            <w:b/>
            <w:color w:val="1155CC"/>
            <w:u w:val="single" w:color="1155CC"/>
          </w:rPr>
          <w:t>MACHINE</w:t>
        </w:r>
      </w:hyperlink>
      <w:hyperlink r:id="rId35">
        <w:r>
          <w:rPr>
            <w:b/>
            <w:color w:val="1155CC"/>
            <w:u w:val="single" w:color="1155CC"/>
          </w:rPr>
          <w:t xml:space="preserve"> </w:t>
        </w:r>
      </w:hyperlink>
      <w:hyperlink r:id="rId36">
        <w:r>
          <w:rPr>
            <w:b/>
            <w:color w:val="1155CC"/>
            <w:u w:val="single" w:color="1155CC"/>
          </w:rPr>
          <w:t>LEARNING</w:t>
        </w:r>
      </w:hyperlink>
      <w:hyperlink r:id="rId37">
        <w:r>
          <w:rPr>
            <w:b/>
            <w:color w:val="1155CC"/>
            <w:u w:val="single" w:color="1155CC"/>
          </w:rPr>
          <w:t xml:space="preserve"> </w:t>
        </w:r>
      </w:hyperlink>
      <w:hyperlink r:id="rId38">
        <w:r>
          <w:rPr>
            <w:b/>
            <w:color w:val="1155CC"/>
            <w:u w:val="single" w:color="1155CC"/>
          </w:rPr>
          <w:t>REPOSITIORY."</w:t>
        </w:r>
      </w:hyperlink>
      <w:hyperlink r:id="rId39">
        <w:r>
          <w:t xml:space="preserve"> </w:t>
        </w:r>
      </w:hyperlink>
    </w:p>
    <w:p w14:paraId="1BB6D5DE" w14:textId="77777777" w:rsidR="000C4B14" w:rsidRDefault="00000000">
      <w:pPr>
        <w:pStyle w:val="Heading1"/>
        <w:ind w:left="-5"/>
      </w:pPr>
      <w:r>
        <w:t>Step 2: Algorithm Selection and Model Training</w:t>
      </w:r>
      <w:r>
        <w:rPr>
          <w:u w:val="none"/>
        </w:rPr>
        <w:t xml:space="preserve"> </w:t>
      </w:r>
    </w:p>
    <w:p w14:paraId="50377153" w14:textId="77777777" w:rsidR="000C4B14" w:rsidRDefault="00000000">
      <w:pPr>
        <w:spacing w:after="292"/>
        <w:ind w:left="9" w:right="94"/>
      </w:pPr>
      <w:r>
        <w:t xml:space="preserve">Having prepared our dataset, we venture into the realm of machine learning by selecting an appropriate algorithm for our predictive model. IBM Cloud Watson Studio offers a rich palette of options, and our choice will be guided by the unique characteristics of the data and the complexity of the problem at hand. </w:t>
      </w:r>
    </w:p>
    <w:p w14:paraId="7A036885" w14:textId="77777777" w:rsidR="000C4B14" w:rsidRDefault="00000000">
      <w:pPr>
        <w:ind w:left="9" w:right="94"/>
      </w:pPr>
      <w:r>
        <w:lastRenderedPageBreak/>
        <w:t xml:space="preserve">Once the algorithm is selected, we initiate the model training process. This involves feeding the historical data into the model, allowing it to learn from the patterns and nuances present in the dataset. Within this process, we undertake: </w:t>
      </w:r>
    </w:p>
    <w:p w14:paraId="6FCDC1AE" w14:textId="77777777" w:rsidR="000C4B14" w:rsidRDefault="00000000">
      <w:pPr>
        <w:numPr>
          <w:ilvl w:val="0"/>
          <w:numId w:val="2"/>
        </w:numPr>
        <w:ind w:right="94" w:hanging="139"/>
      </w:pPr>
      <w:r>
        <w:rPr>
          <w:b/>
        </w:rPr>
        <w:t xml:space="preserve">Data Cleaning: </w:t>
      </w:r>
      <w:r>
        <w:t xml:space="preserve">Identifying and handling missing values and outliers to ensure data quality. </w:t>
      </w:r>
    </w:p>
    <w:p w14:paraId="438C2AB8" w14:textId="77777777" w:rsidR="000C4B14" w:rsidRDefault="00000000">
      <w:pPr>
        <w:numPr>
          <w:ilvl w:val="0"/>
          <w:numId w:val="2"/>
        </w:numPr>
        <w:spacing w:after="20"/>
        <w:ind w:right="94" w:hanging="139"/>
      </w:pPr>
      <w:r>
        <w:rPr>
          <w:b/>
        </w:rPr>
        <w:t xml:space="preserve">Feature Engineering: </w:t>
      </w:r>
      <w:r>
        <w:t xml:space="preserve">Selecting relevant features and transforming the data to be fed into the model. </w:t>
      </w:r>
    </w:p>
    <w:p w14:paraId="734FAE15" w14:textId="77777777" w:rsidR="000C4B14" w:rsidRDefault="00000000">
      <w:pPr>
        <w:numPr>
          <w:ilvl w:val="0"/>
          <w:numId w:val="2"/>
        </w:numPr>
        <w:spacing w:after="18"/>
        <w:ind w:right="94" w:hanging="139"/>
      </w:pPr>
      <w:r>
        <w:rPr>
          <w:b/>
        </w:rPr>
        <w:t xml:space="preserve">Data Splitting: </w:t>
      </w:r>
      <w:r>
        <w:t xml:space="preserve">Dividing the dataset into training and testing sets to evaluate the model's performance. </w:t>
      </w:r>
    </w:p>
    <w:p w14:paraId="52D64248" w14:textId="77777777" w:rsidR="000C4B14" w:rsidRDefault="00000000">
      <w:pPr>
        <w:numPr>
          <w:ilvl w:val="0"/>
          <w:numId w:val="2"/>
        </w:numPr>
        <w:spacing w:after="19"/>
        <w:ind w:right="94" w:hanging="139"/>
      </w:pPr>
      <w:r>
        <w:rPr>
          <w:b/>
        </w:rPr>
        <w:t xml:space="preserve">Model Selection: </w:t>
      </w:r>
      <w:r>
        <w:t xml:space="preserve">Making the critical decision of choosing the most suitable machine learning algorithm for our predictive task. </w:t>
      </w:r>
    </w:p>
    <w:p w14:paraId="00B9984E" w14:textId="77777777" w:rsidR="000C4B14" w:rsidRDefault="00000000">
      <w:pPr>
        <w:numPr>
          <w:ilvl w:val="0"/>
          <w:numId w:val="2"/>
        </w:numPr>
        <w:ind w:right="94" w:hanging="139"/>
      </w:pPr>
      <w:r>
        <w:rPr>
          <w:b/>
        </w:rPr>
        <w:t xml:space="preserve">Model Training: </w:t>
      </w:r>
      <w:r>
        <w:t xml:space="preserve">Teaching the model to recognize patterns and make accurate predictions. </w:t>
      </w:r>
    </w:p>
    <w:p w14:paraId="6B149B23" w14:textId="77777777" w:rsidR="000C4B14" w:rsidRDefault="00000000">
      <w:pPr>
        <w:pStyle w:val="Heading1"/>
        <w:spacing w:after="369" w:line="259" w:lineRule="auto"/>
        <w:ind w:left="14" w:firstLine="0"/>
      </w:pPr>
      <w:r>
        <w:rPr>
          <w:u w:val="none"/>
        </w:rPr>
        <w:t xml:space="preserve">Step 3: Rigorous Model Evaluation and Refinement </w:t>
      </w:r>
    </w:p>
    <w:p w14:paraId="10906D67" w14:textId="77777777" w:rsidR="000C4B14" w:rsidRDefault="00000000">
      <w:pPr>
        <w:ind w:left="9" w:right="94"/>
      </w:pPr>
      <w:r>
        <w:t xml:space="preserve">Following the initial model training, we embark on a rigorous evaluation process to gauge its performance. We employ a range of metrics, including accuracy, precision, recall, and F1-score, to assess the model's predictive power. If deemed necessary, we enter the phase of model refinement. Here, we fine-tune hyperparameters, experiment with different algorithms, and optimize the model to enhance its effectiveness. </w:t>
      </w:r>
    </w:p>
    <w:p w14:paraId="0FC1C5CA" w14:textId="77777777" w:rsidR="000C4B14" w:rsidRDefault="00000000">
      <w:pPr>
        <w:pStyle w:val="Heading2"/>
        <w:ind w:left="-5"/>
      </w:pPr>
      <w:r>
        <w:t>Step 4: Seamless Web Service Deployment</w:t>
      </w:r>
      <w:r>
        <w:rPr>
          <w:u w:val="none"/>
        </w:rPr>
        <w:t xml:space="preserve"> </w:t>
      </w:r>
    </w:p>
    <w:p w14:paraId="17CD80CC" w14:textId="77777777" w:rsidR="000C4B14" w:rsidRDefault="00000000">
      <w:pPr>
        <w:ind w:left="9" w:right="94"/>
      </w:pPr>
      <w:r>
        <w:t xml:space="preserve">IBM Cloud Watson Studio offers a streamlined process for deploying machine learning models as web services. We harness this capability to host our predictive model in the cloud. The benefits of this deployment strategy are numerous: </w:t>
      </w:r>
    </w:p>
    <w:p w14:paraId="41D2BE3E" w14:textId="77777777" w:rsidR="000C4B14" w:rsidRDefault="00000000">
      <w:pPr>
        <w:numPr>
          <w:ilvl w:val="0"/>
          <w:numId w:val="3"/>
        </w:numPr>
        <w:spacing w:after="19"/>
        <w:ind w:right="94"/>
      </w:pPr>
      <w:r>
        <w:rPr>
          <w:b/>
        </w:rPr>
        <w:t xml:space="preserve">Scalability: </w:t>
      </w:r>
      <w:r>
        <w:t xml:space="preserve">Our model becomes capable of handling predictions for a large number of students. </w:t>
      </w:r>
    </w:p>
    <w:p w14:paraId="4CD929D6" w14:textId="77777777" w:rsidR="000C4B14" w:rsidRDefault="00000000">
      <w:pPr>
        <w:numPr>
          <w:ilvl w:val="0"/>
          <w:numId w:val="3"/>
        </w:numPr>
        <w:spacing w:after="20"/>
        <w:ind w:right="94"/>
      </w:pPr>
      <w:r>
        <w:rPr>
          <w:b/>
        </w:rPr>
        <w:t xml:space="preserve">Accessibility: </w:t>
      </w:r>
      <w:r>
        <w:t xml:space="preserve">Educators and administrators gain easy access to the model through a userfriendly interface. </w:t>
      </w:r>
    </w:p>
    <w:p w14:paraId="4226E45D" w14:textId="77777777" w:rsidR="000C4B14" w:rsidRDefault="00000000">
      <w:pPr>
        <w:numPr>
          <w:ilvl w:val="0"/>
          <w:numId w:val="3"/>
        </w:numPr>
        <w:ind w:right="94"/>
      </w:pPr>
      <w:r>
        <w:rPr>
          <w:b/>
        </w:rPr>
        <w:t xml:space="preserve">Real-time Predictions: </w:t>
      </w:r>
      <w:r>
        <w:t xml:space="preserve">Continuous monitoring of student risk factors enables timely intervention. </w:t>
      </w:r>
    </w:p>
    <w:p w14:paraId="691393A8" w14:textId="77777777" w:rsidR="000C4B14" w:rsidRDefault="00000000">
      <w:pPr>
        <w:pStyle w:val="Heading2"/>
        <w:ind w:left="-5"/>
      </w:pPr>
      <w:r>
        <w:lastRenderedPageBreak/>
        <w:t>Step 5: Integration and User Interface Development</w:t>
      </w:r>
      <w:r>
        <w:rPr>
          <w:u w:val="none"/>
        </w:rPr>
        <w:t xml:space="preserve"> </w:t>
      </w:r>
    </w:p>
    <w:p w14:paraId="2F148600" w14:textId="77777777" w:rsidR="000C4B14" w:rsidRDefault="00000000">
      <w:pPr>
        <w:spacing w:after="0"/>
        <w:ind w:left="9" w:right="94"/>
      </w:pPr>
      <w:r>
        <w:t xml:space="preserve">To seamlessly integrate our solution into existing educational systems, we embark on the development of APIs. These APIs serve as gateways to access the model's predictive capabilities. </w:t>
      </w:r>
    </w:p>
    <w:p w14:paraId="41656C0A" w14:textId="77777777" w:rsidR="000C4B14" w:rsidRDefault="00000000">
      <w:pPr>
        <w:ind w:left="9" w:right="94"/>
      </w:pPr>
      <w:r>
        <w:t xml:space="preserve">Additionally, we create an intuitive user-friendly dashboard that empowers educators and administrators to effortlessly view predictions and take timely actions. The dashboard offers valuable insights into individual students' risk factors, enabling personalized interventions. </w:t>
      </w:r>
    </w:p>
    <w:p w14:paraId="6AEEA4C1" w14:textId="77777777" w:rsidR="000C4B14" w:rsidRDefault="00000000">
      <w:pPr>
        <w:pStyle w:val="Heading2"/>
        <w:ind w:left="-5"/>
      </w:pPr>
      <w:r>
        <w:t>Step 6: Automated Alert Mechanisms and Continuous Monitoring</w:t>
      </w:r>
      <w:r>
        <w:rPr>
          <w:u w:val="none"/>
        </w:rPr>
        <w:t xml:space="preserve"> </w:t>
      </w:r>
    </w:p>
    <w:p w14:paraId="60337A3F" w14:textId="77777777" w:rsidR="000C4B14" w:rsidRDefault="00000000">
      <w:pPr>
        <w:ind w:left="9" w:right="94"/>
      </w:pPr>
      <w:r>
        <w:t xml:space="preserve">To bolster the effectiveness of our solution, we implement automated alert mechanisms. These alerts notify educators and administrators about students at high risk of dropping out. The realtime nature of these alerts allows for rapid response and intervention, thereby preventing potential dropouts. We also establish a system for continuous monitoring of student risk factors, ensuring that the solution remains adaptive and responsive to changing circumstances. </w:t>
      </w:r>
    </w:p>
    <w:p w14:paraId="31E59FB9" w14:textId="77777777" w:rsidR="000C4B14" w:rsidRDefault="00000000">
      <w:pPr>
        <w:pStyle w:val="Heading2"/>
        <w:ind w:left="-5"/>
      </w:pPr>
      <w:r>
        <w:t>Step 7: Comprehensive Documentation and Knowledge Transfer</w:t>
      </w:r>
      <w:r>
        <w:rPr>
          <w:u w:val="none"/>
        </w:rPr>
        <w:t xml:space="preserve"> </w:t>
      </w:r>
    </w:p>
    <w:p w14:paraId="512D5812" w14:textId="77777777" w:rsidR="000C4B14" w:rsidRDefault="00000000">
      <w:pPr>
        <w:spacing w:after="292"/>
        <w:ind w:left="9" w:right="94"/>
      </w:pPr>
      <w:r>
        <w:t xml:space="preserve">Throughout the innovation phase, we maintain meticulous documentation of our progress, methodologies, and implementation steps. This documentation serves as a valuable resource for knowledge transfer, ensuring that the solution can be seamlessly adopted by educational institutions. It also lays the foundation for future enhancements and refinements. </w:t>
      </w:r>
    </w:p>
    <w:p w14:paraId="5398788A" w14:textId="77777777" w:rsidR="000C4B14" w:rsidRDefault="00000000">
      <w:pPr>
        <w:ind w:left="9" w:right="94"/>
      </w:pPr>
      <w:r>
        <w:t xml:space="preserve">In essence, Phase 2 represents the transformative journey from design to innovation. We are committed to converting our vision into a tangible, data-driven solution that addresses the pressing challenge of high student dropout rates. Through the strategic use of IBM Cloud Watson Studio, comprehensive data analysis, predictive modeling, and user-friendly interfaces, we empower educational institutions to support students effectively, enhance retention rates, and efficiently allocate resources. This holistic approach enables institutions to make data-driven decisions that foster student success, ultimately benefiting individuals and the educational ecosystem as a whole. </w:t>
      </w:r>
    </w:p>
    <w:sectPr w:rsidR="000C4B14">
      <w:headerReference w:type="even" r:id="rId40"/>
      <w:headerReference w:type="default" r:id="rId41"/>
      <w:footerReference w:type="even" r:id="rId42"/>
      <w:footerReference w:type="default" r:id="rId43"/>
      <w:headerReference w:type="first" r:id="rId44"/>
      <w:footerReference w:type="first" r:id="rId45"/>
      <w:pgSz w:w="12240" w:h="15840"/>
      <w:pgMar w:top="1470" w:right="1347" w:bottom="1756"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54A6A" w14:textId="77777777" w:rsidR="009F0D30" w:rsidRDefault="009F0D30">
      <w:pPr>
        <w:spacing w:after="0" w:line="240" w:lineRule="auto"/>
      </w:pPr>
      <w:r>
        <w:separator/>
      </w:r>
    </w:p>
  </w:endnote>
  <w:endnote w:type="continuationSeparator" w:id="0">
    <w:p w14:paraId="2B015826" w14:textId="77777777" w:rsidR="009F0D30" w:rsidRDefault="009F0D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5F53" w14:textId="77777777" w:rsidR="000C4B14" w:rsidRDefault="00000000">
    <w:pPr>
      <w:spacing w:after="0" w:line="259" w:lineRule="auto"/>
      <w:ind w:left="-1426" w:right="10893"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297FA40" wp14:editId="1B681144">
              <wp:simplePos x="0" y="0"/>
              <wp:positionH relativeFrom="page">
                <wp:posOffset>304800</wp:posOffset>
              </wp:positionH>
              <wp:positionV relativeFrom="page">
                <wp:posOffset>9748724</wp:posOffset>
              </wp:positionV>
              <wp:extent cx="7164070" cy="6096"/>
              <wp:effectExtent l="0" t="0" r="0" b="0"/>
              <wp:wrapSquare wrapText="bothSides"/>
              <wp:docPr id="3058" name="Group 3058"/>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163" name="Shape 31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4" name="Shape 3164"/>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5" name="Shape 3165"/>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8" style="width:564.1pt;height:0.47998pt;position:absolute;mso-position-horizontal-relative:page;mso-position-horizontal:absolute;margin-left:24pt;mso-position-vertical-relative:page;margin-top:767.616pt;" coordsize="71640,60">
              <v:shape id="Shape 3166" style="position:absolute;width:91;height:91;left:0;top:0;" coordsize="9144,9144" path="m0,0l9144,0l9144,9144l0,9144l0,0">
                <v:stroke weight="0pt" endcap="flat" joinstyle="miter" miterlimit="10" on="false" color="#000000" opacity="0"/>
                <v:fill on="true" color="#000000"/>
              </v:shape>
              <v:shape id="Shape 3167" style="position:absolute;width:71518;height:91;left:60;top:0;" coordsize="7151878,9144" path="m0,0l7151878,0l7151878,9144l0,9144l0,0">
                <v:stroke weight="0pt" endcap="flat" joinstyle="miter" miterlimit="10" on="false" color="#000000" opacity="0"/>
                <v:fill on="true" color="#000000"/>
              </v:shape>
              <v:shape id="Shape 3168"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18AD2" w14:textId="77777777" w:rsidR="000C4B14" w:rsidRDefault="00000000">
    <w:pPr>
      <w:spacing w:after="0" w:line="259" w:lineRule="auto"/>
      <w:ind w:left="-1426" w:right="10893"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026B1109" wp14:editId="60793AA5">
              <wp:simplePos x="0" y="0"/>
              <wp:positionH relativeFrom="page">
                <wp:posOffset>304800</wp:posOffset>
              </wp:positionH>
              <wp:positionV relativeFrom="page">
                <wp:posOffset>9748724</wp:posOffset>
              </wp:positionV>
              <wp:extent cx="7164070" cy="6096"/>
              <wp:effectExtent l="0" t="0" r="0" b="0"/>
              <wp:wrapSquare wrapText="bothSides"/>
              <wp:docPr id="3039" name="Group 3039"/>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157" name="Shape 31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8" name="Shape 3158"/>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9" name="Shape 3159"/>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9" style="width:564.1pt;height:0.47998pt;position:absolute;mso-position-horizontal-relative:page;mso-position-horizontal:absolute;margin-left:24pt;mso-position-vertical-relative:page;margin-top:767.616pt;" coordsize="71640,60">
              <v:shape id="Shape 3160" style="position:absolute;width:91;height:91;left:0;top:0;" coordsize="9144,9144" path="m0,0l9144,0l9144,9144l0,9144l0,0">
                <v:stroke weight="0pt" endcap="flat" joinstyle="miter" miterlimit="10" on="false" color="#000000" opacity="0"/>
                <v:fill on="true" color="#000000"/>
              </v:shape>
              <v:shape id="Shape 3161" style="position:absolute;width:71518;height:91;left:60;top:0;" coordsize="7151878,9144" path="m0,0l7151878,0l7151878,9144l0,9144l0,0">
                <v:stroke weight="0pt" endcap="flat" joinstyle="miter" miterlimit="10" on="false" color="#000000" opacity="0"/>
                <v:fill on="true" color="#000000"/>
              </v:shape>
              <v:shape id="Shape 3162"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DEC5" w14:textId="77777777" w:rsidR="000C4B14" w:rsidRDefault="00000000">
    <w:pPr>
      <w:spacing w:after="0" w:line="259" w:lineRule="auto"/>
      <w:ind w:left="-1426" w:right="10893"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C1FFFF4" wp14:editId="02AB240A">
              <wp:simplePos x="0" y="0"/>
              <wp:positionH relativeFrom="page">
                <wp:posOffset>304800</wp:posOffset>
              </wp:positionH>
              <wp:positionV relativeFrom="page">
                <wp:posOffset>9748724</wp:posOffset>
              </wp:positionV>
              <wp:extent cx="7164070" cy="6096"/>
              <wp:effectExtent l="0" t="0" r="0" b="0"/>
              <wp:wrapSquare wrapText="bothSides"/>
              <wp:docPr id="3020" name="Group 302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151" name="Shape 31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2" name="Shape 315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3" name="Shape 315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0" style="width:564.1pt;height:0.47998pt;position:absolute;mso-position-horizontal-relative:page;mso-position-horizontal:absolute;margin-left:24pt;mso-position-vertical-relative:page;margin-top:767.616pt;" coordsize="71640,60">
              <v:shape id="Shape 3154" style="position:absolute;width:91;height:91;left:0;top:0;" coordsize="9144,9144" path="m0,0l9144,0l9144,9144l0,9144l0,0">
                <v:stroke weight="0pt" endcap="flat" joinstyle="miter" miterlimit="10" on="false" color="#000000" opacity="0"/>
                <v:fill on="true" color="#000000"/>
              </v:shape>
              <v:shape id="Shape 3155" style="position:absolute;width:71518;height:91;left:60;top:0;" coordsize="7151878,9144" path="m0,0l7151878,0l7151878,9144l0,9144l0,0">
                <v:stroke weight="0pt" endcap="flat" joinstyle="miter" miterlimit="10" on="false" color="#000000" opacity="0"/>
                <v:fill on="true" color="#000000"/>
              </v:shape>
              <v:shape id="Shape 315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D602A" w14:textId="77777777" w:rsidR="009F0D30" w:rsidRDefault="009F0D30">
      <w:pPr>
        <w:spacing w:after="0" w:line="240" w:lineRule="auto"/>
      </w:pPr>
      <w:r>
        <w:separator/>
      </w:r>
    </w:p>
  </w:footnote>
  <w:footnote w:type="continuationSeparator" w:id="0">
    <w:p w14:paraId="3CA7D7DE" w14:textId="77777777" w:rsidR="009F0D30" w:rsidRDefault="009F0D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6AEA7" w14:textId="77777777" w:rsidR="000C4B14" w:rsidRDefault="00000000">
    <w:pPr>
      <w:spacing w:after="0" w:line="259" w:lineRule="auto"/>
      <w:ind w:left="-1426" w:right="10893"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BFD2F8D" wp14:editId="0B15EC6C">
              <wp:simplePos x="0" y="0"/>
              <wp:positionH relativeFrom="page">
                <wp:posOffset>304800</wp:posOffset>
              </wp:positionH>
              <wp:positionV relativeFrom="page">
                <wp:posOffset>304800</wp:posOffset>
              </wp:positionV>
              <wp:extent cx="7164070" cy="6096"/>
              <wp:effectExtent l="0" t="0" r="0" b="0"/>
              <wp:wrapSquare wrapText="bothSides"/>
              <wp:docPr id="3047" name="Group 3047"/>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141" name="Shape 31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2" name="Shape 314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3" name="Shape 314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7" style="width:564.1pt;height:0.47998pt;position:absolute;mso-position-horizontal-relative:page;mso-position-horizontal:absolute;margin-left:24pt;mso-position-vertical-relative:page;margin-top:24pt;" coordsize="71640,60">
              <v:shape id="Shape 3144" style="position:absolute;width:91;height:91;left:0;top:0;" coordsize="9144,9144" path="m0,0l9144,0l9144,9144l0,9144l0,0">
                <v:stroke weight="0pt" endcap="flat" joinstyle="miter" miterlimit="10" on="false" color="#000000" opacity="0"/>
                <v:fill on="true" color="#000000"/>
              </v:shape>
              <v:shape id="Shape 3145" style="position:absolute;width:71518;height:91;left:60;top:0;" coordsize="7151878,9144" path="m0,0l7151878,0l7151878,9144l0,9144l0,0">
                <v:stroke weight="0pt" endcap="flat" joinstyle="miter" miterlimit="10" on="false" color="#000000" opacity="0"/>
                <v:fill on="true" color="#000000"/>
              </v:shape>
              <v:shape id="Shape 314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5A46E414" w14:textId="77777777" w:rsidR="000C4B1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31BA78D" wp14:editId="36F7AE88">
              <wp:simplePos x="0" y="0"/>
              <wp:positionH relativeFrom="page">
                <wp:posOffset>304800</wp:posOffset>
              </wp:positionH>
              <wp:positionV relativeFrom="page">
                <wp:posOffset>310845</wp:posOffset>
              </wp:positionV>
              <wp:extent cx="7164070" cy="9437878"/>
              <wp:effectExtent l="0" t="0" r="0" b="0"/>
              <wp:wrapNone/>
              <wp:docPr id="3051" name="Group 3051"/>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147" name="Shape 3147"/>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8" name="Shape 3148"/>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51" style="width:564.1pt;height:743.14pt;position:absolute;z-index:-2147483648;mso-position-horizontal-relative:page;mso-position-horizontal:absolute;margin-left:24pt;mso-position-vertical-relative:page;margin-top:24.476pt;" coordsize="71640,94378">
              <v:shape id="Shape 3149" style="position:absolute;width:91;height:94378;left:0;top:0;" coordsize="9144,9437878" path="m0,0l9144,0l9144,9437878l0,9437878l0,0">
                <v:stroke weight="0pt" endcap="flat" joinstyle="miter" miterlimit="10" on="false" color="#000000" opacity="0"/>
                <v:fill on="true" color="#000000"/>
              </v:shape>
              <v:shape id="Shape 3150"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D288" w14:textId="77777777" w:rsidR="000C4B14" w:rsidRDefault="00000000">
    <w:pPr>
      <w:spacing w:after="0" w:line="259" w:lineRule="auto"/>
      <w:ind w:left="-1426" w:right="10893"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6EF56DF" wp14:editId="36E47D15">
              <wp:simplePos x="0" y="0"/>
              <wp:positionH relativeFrom="page">
                <wp:posOffset>304800</wp:posOffset>
              </wp:positionH>
              <wp:positionV relativeFrom="page">
                <wp:posOffset>304800</wp:posOffset>
              </wp:positionV>
              <wp:extent cx="7164070" cy="6096"/>
              <wp:effectExtent l="0" t="0" r="0" b="0"/>
              <wp:wrapSquare wrapText="bothSides"/>
              <wp:docPr id="3028" name="Group 3028"/>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131" name="Shape 31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2" name="Shape 313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3" name="Shape 313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8" style="width:564.1pt;height:0.47998pt;position:absolute;mso-position-horizontal-relative:page;mso-position-horizontal:absolute;margin-left:24pt;mso-position-vertical-relative:page;margin-top:24pt;" coordsize="71640,60">
              <v:shape id="Shape 3134" style="position:absolute;width:91;height:91;left:0;top:0;" coordsize="9144,9144" path="m0,0l9144,0l9144,9144l0,9144l0,0">
                <v:stroke weight="0pt" endcap="flat" joinstyle="miter" miterlimit="10" on="false" color="#000000" opacity="0"/>
                <v:fill on="true" color="#000000"/>
              </v:shape>
              <v:shape id="Shape 3135" style="position:absolute;width:71518;height:91;left:60;top:0;" coordsize="7151878,9144" path="m0,0l7151878,0l7151878,9144l0,9144l0,0">
                <v:stroke weight="0pt" endcap="flat" joinstyle="miter" miterlimit="10" on="false" color="#000000" opacity="0"/>
                <v:fill on="true" color="#000000"/>
              </v:shape>
              <v:shape id="Shape 313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1CAD63AE" w14:textId="77777777" w:rsidR="000C4B1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69F60D2" wp14:editId="5B526275">
              <wp:simplePos x="0" y="0"/>
              <wp:positionH relativeFrom="page">
                <wp:posOffset>304800</wp:posOffset>
              </wp:positionH>
              <wp:positionV relativeFrom="page">
                <wp:posOffset>310845</wp:posOffset>
              </wp:positionV>
              <wp:extent cx="7164070" cy="9437878"/>
              <wp:effectExtent l="0" t="0" r="0" b="0"/>
              <wp:wrapNone/>
              <wp:docPr id="3032" name="Group 3032"/>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137" name="Shape 3137"/>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38" name="Shape 3138"/>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2" style="width:564.1pt;height:743.14pt;position:absolute;z-index:-2147483648;mso-position-horizontal-relative:page;mso-position-horizontal:absolute;margin-left:24pt;mso-position-vertical-relative:page;margin-top:24.476pt;" coordsize="71640,94378">
              <v:shape id="Shape 3139" style="position:absolute;width:91;height:94378;left:0;top:0;" coordsize="9144,9437878" path="m0,0l9144,0l9144,9437878l0,9437878l0,0">
                <v:stroke weight="0pt" endcap="flat" joinstyle="miter" miterlimit="10" on="false" color="#000000" opacity="0"/>
                <v:fill on="true" color="#000000"/>
              </v:shape>
              <v:shape id="Shape 3140"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D625" w14:textId="77777777" w:rsidR="000C4B14" w:rsidRDefault="00000000">
    <w:pPr>
      <w:spacing w:after="0" w:line="259" w:lineRule="auto"/>
      <w:ind w:left="-1426" w:right="10893"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5CBA483" wp14:editId="1072F488">
              <wp:simplePos x="0" y="0"/>
              <wp:positionH relativeFrom="page">
                <wp:posOffset>304800</wp:posOffset>
              </wp:positionH>
              <wp:positionV relativeFrom="page">
                <wp:posOffset>304800</wp:posOffset>
              </wp:positionV>
              <wp:extent cx="7164070" cy="6096"/>
              <wp:effectExtent l="0" t="0" r="0" b="0"/>
              <wp:wrapSquare wrapText="bothSides"/>
              <wp:docPr id="3009" name="Group 3009"/>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121" name="Shape 31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2" name="Shape 3122"/>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3" name="Shape 3123"/>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9" style="width:564.1pt;height:0.47998pt;position:absolute;mso-position-horizontal-relative:page;mso-position-horizontal:absolute;margin-left:24pt;mso-position-vertical-relative:page;margin-top:24pt;" coordsize="71640,60">
              <v:shape id="Shape 3124" style="position:absolute;width:91;height:91;left:0;top:0;" coordsize="9144,9144" path="m0,0l9144,0l9144,9144l0,9144l0,0">
                <v:stroke weight="0pt" endcap="flat" joinstyle="miter" miterlimit="10" on="false" color="#000000" opacity="0"/>
                <v:fill on="true" color="#000000"/>
              </v:shape>
              <v:shape id="Shape 3125" style="position:absolute;width:71518;height:91;left:60;top:0;" coordsize="7151878,9144" path="m0,0l7151878,0l7151878,9144l0,9144l0,0">
                <v:stroke weight="0pt" endcap="flat" joinstyle="miter" miterlimit="10" on="false" color="#000000" opacity="0"/>
                <v:fill on="true" color="#000000"/>
              </v:shape>
              <v:shape id="Shape 3126" style="position:absolute;width:91;height:91;left:71579;top:0;" coordsize="9144,9144" path="m0,0l9144,0l9144,9144l0,9144l0,0">
                <v:stroke weight="0pt" endcap="flat" joinstyle="miter" miterlimit="10" on="false" color="#000000" opacity="0"/>
                <v:fill on="true" color="#000000"/>
              </v:shape>
              <w10:wrap type="square"/>
            </v:group>
          </w:pict>
        </mc:Fallback>
      </mc:AlternateContent>
    </w:r>
  </w:p>
  <w:p w14:paraId="09A538CA" w14:textId="77777777" w:rsidR="000C4B1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51BCF10" wp14:editId="36E3617E">
              <wp:simplePos x="0" y="0"/>
              <wp:positionH relativeFrom="page">
                <wp:posOffset>304800</wp:posOffset>
              </wp:positionH>
              <wp:positionV relativeFrom="page">
                <wp:posOffset>310845</wp:posOffset>
              </wp:positionV>
              <wp:extent cx="7164070" cy="9437878"/>
              <wp:effectExtent l="0" t="0" r="0" b="0"/>
              <wp:wrapNone/>
              <wp:docPr id="3013" name="Group 3013"/>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127" name="Shape 3127"/>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28" name="Shape 3128"/>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3" style="width:564.1pt;height:743.14pt;position:absolute;z-index:-2147483648;mso-position-horizontal-relative:page;mso-position-horizontal:absolute;margin-left:24pt;mso-position-vertical-relative:page;margin-top:24.476pt;" coordsize="71640,94378">
              <v:shape id="Shape 3129" style="position:absolute;width:91;height:94378;left:0;top:0;" coordsize="9144,9437878" path="m0,0l9144,0l9144,9437878l0,9437878l0,0">
                <v:stroke weight="0pt" endcap="flat" joinstyle="miter" miterlimit="10" on="false" color="#000000" opacity="0"/>
                <v:fill on="true" color="#000000"/>
              </v:shape>
              <v:shape id="Shape 3130" style="position:absolute;width:91;height:94378;left:71579;top:0;" coordsize="9144,9437878" path="m0,0l9144,0l9144,9437878l0,9437878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B39C5"/>
    <w:multiLevelType w:val="hybridMultilevel"/>
    <w:tmpl w:val="F656D064"/>
    <w:lvl w:ilvl="0" w:tplc="04EC0F50">
      <w:start w:val="1"/>
      <w:numFmt w:val="bullet"/>
      <w:lvlText w:val="-"/>
      <w:lvlJc w:val="left"/>
      <w:pPr>
        <w:ind w:left="1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C6615EA">
      <w:start w:val="1"/>
      <w:numFmt w:val="bullet"/>
      <w:lvlText w:val="o"/>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B84F5E6">
      <w:start w:val="1"/>
      <w:numFmt w:val="bullet"/>
      <w:lvlText w:val="▪"/>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66E6776">
      <w:start w:val="1"/>
      <w:numFmt w:val="bullet"/>
      <w:lvlText w:val="•"/>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4283018">
      <w:start w:val="1"/>
      <w:numFmt w:val="bullet"/>
      <w:lvlText w:val="o"/>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56AFBC4">
      <w:start w:val="1"/>
      <w:numFmt w:val="bullet"/>
      <w:lvlText w:val="▪"/>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2FA0F2C">
      <w:start w:val="1"/>
      <w:numFmt w:val="bullet"/>
      <w:lvlText w:val="•"/>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F982486">
      <w:start w:val="1"/>
      <w:numFmt w:val="bullet"/>
      <w:lvlText w:val="o"/>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F09ECC">
      <w:start w:val="1"/>
      <w:numFmt w:val="bullet"/>
      <w:lvlText w:val="▪"/>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E96045"/>
    <w:multiLevelType w:val="hybridMultilevel"/>
    <w:tmpl w:val="212A9EBE"/>
    <w:lvl w:ilvl="0" w:tplc="87AC73C8">
      <w:start w:val="1"/>
      <w:numFmt w:val="bullet"/>
      <w:lvlText w:val="-"/>
      <w:lvlJc w:val="left"/>
      <w:pPr>
        <w:ind w:left="1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00C453E">
      <w:start w:val="1"/>
      <w:numFmt w:val="bullet"/>
      <w:lvlText w:val="o"/>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9320636">
      <w:start w:val="1"/>
      <w:numFmt w:val="bullet"/>
      <w:lvlText w:val="▪"/>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57A1792">
      <w:start w:val="1"/>
      <w:numFmt w:val="bullet"/>
      <w:lvlText w:val="•"/>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3249BEE">
      <w:start w:val="1"/>
      <w:numFmt w:val="bullet"/>
      <w:lvlText w:val="o"/>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03E5D84">
      <w:start w:val="1"/>
      <w:numFmt w:val="bullet"/>
      <w:lvlText w:val="▪"/>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418F238">
      <w:start w:val="1"/>
      <w:numFmt w:val="bullet"/>
      <w:lvlText w:val="•"/>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55809DC">
      <w:start w:val="1"/>
      <w:numFmt w:val="bullet"/>
      <w:lvlText w:val="o"/>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7D7A2700">
      <w:start w:val="1"/>
      <w:numFmt w:val="bullet"/>
      <w:lvlText w:val="▪"/>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A235751"/>
    <w:multiLevelType w:val="hybridMultilevel"/>
    <w:tmpl w:val="FDC65F5C"/>
    <w:lvl w:ilvl="0" w:tplc="A2AAC4CC">
      <w:start w:val="1"/>
      <w:numFmt w:val="bullet"/>
      <w:lvlText w:val="-"/>
      <w:lvlJc w:val="left"/>
      <w:pPr>
        <w:ind w:left="1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C2A6C6A">
      <w:start w:val="1"/>
      <w:numFmt w:val="bullet"/>
      <w:lvlText w:val="o"/>
      <w:lvlJc w:val="left"/>
      <w:pPr>
        <w:ind w:left="10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46048B0">
      <w:start w:val="1"/>
      <w:numFmt w:val="bullet"/>
      <w:lvlText w:val="▪"/>
      <w:lvlJc w:val="left"/>
      <w:pPr>
        <w:ind w:left="18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0989EDA">
      <w:start w:val="1"/>
      <w:numFmt w:val="bullet"/>
      <w:lvlText w:val="•"/>
      <w:lvlJc w:val="left"/>
      <w:pPr>
        <w:ind w:left="25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BD0430E">
      <w:start w:val="1"/>
      <w:numFmt w:val="bullet"/>
      <w:lvlText w:val="o"/>
      <w:lvlJc w:val="left"/>
      <w:pPr>
        <w:ind w:left="32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CCE1AE8">
      <w:start w:val="1"/>
      <w:numFmt w:val="bullet"/>
      <w:lvlText w:val="▪"/>
      <w:lvlJc w:val="left"/>
      <w:pPr>
        <w:ind w:left="39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B38211A4">
      <w:start w:val="1"/>
      <w:numFmt w:val="bullet"/>
      <w:lvlText w:val="•"/>
      <w:lvlJc w:val="left"/>
      <w:pPr>
        <w:ind w:left="46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19AC6C6">
      <w:start w:val="1"/>
      <w:numFmt w:val="bullet"/>
      <w:lvlText w:val="o"/>
      <w:lvlJc w:val="left"/>
      <w:pPr>
        <w:ind w:left="54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308CB60">
      <w:start w:val="1"/>
      <w:numFmt w:val="bullet"/>
      <w:lvlText w:val="▪"/>
      <w:lvlJc w:val="left"/>
      <w:pPr>
        <w:ind w:left="61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521673546">
    <w:abstractNumId w:val="2"/>
  </w:num>
  <w:num w:numId="2" w16cid:durableId="1509557067">
    <w:abstractNumId w:val="1"/>
  </w:num>
  <w:num w:numId="3" w16cid:durableId="1040977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B14"/>
    <w:rsid w:val="000C4B14"/>
    <w:rsid w:val="009F0D30"/>
    <w:rsid w:val="00BE71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728A"/>
  <w15:docId w15:val="{3352F55D-4E4E-441B-9368-8EDFA2FCF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9" w:line="328"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64" w:line="265" w:lineRule="auto"/>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364" w:line="265" w:lineRule="auto"/>
      <w:ind w:left="10" w:hanging="10"/>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kaggle.com/competitions/dropout-prediction/data" TargetMode="External"/><Relationship Id="rId18" Type="http://schemas.openxmlformats.org/officeDocument/2006/relationships/hyperlink" Target="https://www.kaggle.com/competitions/dropout-prediction/data" TargetMode="External"/><Relationship Id="rId26" Type="http://schemas.openxmlformats.org/officeDocument/2006/relationships/hyperlink" Target="https://archive-beta.ics.uci.edu/dataset/697/predict+students+dropout+and+academic+success" TargetMode="External"/><Relationship Id="rId39" Type="http://schemas.openxmlformats.org/officeDocument/2006/relationships/hyperlink" Target="https://archive-beta.ics.uci.edu/dataset/697/predict+students+dropout+and+academic+success" TargetMode="External"/><Relationship Id="rId21" Type="http://schemas.openxmlformats.org/officeDocument/2006/relationships/hyperlink" Target="https://www.kaggle.com/competitions/dropout-prediction/data" TargetMode="External"/><Relationship Id="rId34" Type="http://schemas.openxmlformats.org/officeDocument/2006/relationships/hyperlink" Target="https://archive-beta.ics.uci.edu/dataset/697/predict+students+dropout+and+academic+success"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kaggle.com/competitions/dropout-prediction/data" TargetMode="External"/><Relationship Id="rId29" Type="http://schemas.openxmlformats.org/officeDocument/2006/relationships/hyperlink" Target="https://archive-beta.ics.uci.edu/dataset/697/predict+students+dropout+and+academic+suc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mpetitions/dropout-prediction/data" TargetMode="External"/><Relationship Id="rId24" Type="http://schemas.openxmlformats.org/officeDocument/2006/relationships/hyperlink" Target="https://archive-beta.ics.uci.edu/dataset/697/predict+students+dropout+and+academic+success" TargetMode="External"/><Relationship Id="rId32" Type="http://schemas.openxmlformats.org/officeDocument/2006/relationships/hyperlink" Target="https://archive-beta.ics.uci.edu/dataset/697/predict+students+dropout+and+academic+success" TargetMode="External"/><Relationship Id="rId37" Type="http://schemas.openxmlformats.org/officeDocument/2006/relationships/hyperlink" Target="https://archive-beta.ics.uci.edu/dataset/697/predict+students+dropout+and+academic+success"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kaggle.com/competitions/dropout-prediction/data" TargetMode="External"/><Relationship Id="rId23" Type="http://schemas.openxmlformats.org/officeDocument/2006/relationships/hyperlink" Target="https://www.kaggle.com/competitions/dropout-prediction/data" TargetMode="External"/><Relationship Id="rId28" Type="http://schemas.openxmlformats.org/officeDocument/2006/relationships/hyperlink" Target="https://archive-beta.ics.uci.edu/dataset/697/predict+students+dropout+and+academic+success" TargetMode="External"/><Relationship Id="rId36" Type="http://schemas.openxmlformats.org/officeDocument/2006/relationships/hyperlink" Target="https://archive-beta.ics.uci.edu/dataset/697/predict+students+dropout+and+academic+success" TargetMode="External"/><Relationship Id="rId10" Type="http://schemas.openxmlformats.org/officeDocument/2006/relationships/hyperlink" Target="https://www.kaggle.com/competitions/dropout-prediction/data" TargetMode="External"/><Relationship Id="rId19" Type="http://schemas.openxmlformats.org/officeDocument/2006/relationships/hyperlink" Target="https://www.kaggle.com/competitions/dropout-prediction/data" TargetMode="External"/><Relationship Id="rId31" Type="http://schemas.openxmlformats.org/officeDocument/2006/relationships/hyperlink" Target="https://archive-beta.ics.uci.edu/dataset/697/predict+students+dropout+and+academic+success" TargetMode="External"/><Relationship Id="rId44"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www.kaggle.com/competitions/dropout-prediction/data" TargetMode="External"/><Relationship Id="rId22" Type="http://schemas.openxmlformats.org/officeDocument/2006/relationships/hyperlink" Target="https://www.kaggle.com/competitions/dropout-prediction/data" TargetMode="External"/><Relationship Id="rId27" Type="http://schemas.openxmlformats.org/officeDocument/2006/relationships/hyperlink" Target="https://archive-beta.ics.uci.edu/dataset/697/predict+students+dropout+and+academic+success" TargetMode="External"/><Relationship Id="rId30" Type="http://schemas.openxmlformats.org/officeDocument/2006/relationships/hyperlink" Target="https://archive-beta.ics.uci.edu/dataset/697/predict+students+dropout+and+academic+success" TargetMode="External"/><Relationship Id="rId35" Type="http://schemas.openxmlformats.org/officeDocument/2006/relationships/hyperlink" Target="https://archive-beta.ics.uci.edu/dataset/697/predict+students+dropout+and+academic+success" TargetMode="External"/><Relationship Id="rId43" Type="http://schemas.openxmlformats.org/officeDocument/2006/relationships/footer" Target="footer2.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hyperlink" Target="https://www.kaggle.com/competitions/dropout-prediction/data" TargetMode="External"/><Relationship Id="rId17" Type="http://schemas.openxmlformats.org/officeDocument/2006/relationships/hyperlink" Target="https://www.kaggle.com/competitions/dropout-prediction/data" TargetMode="External"/><Relationship Id="rId25" Type="http://schemas.openxmlformats.org/officeDocument/2006/relationships/hyperlink" Target="https://archive-beta.ics.uci.edu/dataset/697/predict+students+dropout+and+academic+success" TargetMode="External"/><Relationship Id="rId33" Type="http://schemas.openxmlformats.org/officeDocument/2006/relationships/hyperlink" Target="https://archive-beta.ics.uci.edu/dataset/697/predict+students+dropout+and+academic+success" TargetMode="External"/><Relationship Id="rId38" Type="http://schemas.openxmlformats.org/officeDocument/2006/relationships/hyperlink" Target="https://archive-beta.ics.uci.edu/dataset/697/predict+students+dropout+and+academic+success" TargetMode="External"/><Relationship Id="rId46" Type="http://schemas.openxmlformats.org/officeDocument/2006/relationships/fontTable" Target="fontTable.xml"/><Relationship Id="rId20" Type="http://schemas.openxmlformats.org/officeDocument/2006/relationships/hyperlink" Target="https://www.kaggle.com/competitions/dropout-prediction/data" TargetMode="External"/><Relationship Id="rId41"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1346</Words>
  <Characters>7677</Characters>
  <Application>Microsoft Office Word</Application>
  <DocSecurity>0</DocSecurity>
  <Lines>63</Lines>
  <Paragraphs>18</Paragraphs>
  <ScaleCrop>false</ScaleCrop>
  <Company/>
  <LinksUpToDate>false</LinksUpToDate>
  <CharactersWithSpaces>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CAD_PHASE2</dc:title>
  <dc:subject/>
  <dc:creator>Akshaya N</dc:creator>
  <cp:keywords/>
  <cp:lastModifiedBy>Akshaya N</cp:lastModifiedBy>
  <cp:revision>2</cp:revision>
  <dcterms:created xsi:type="dcterms:W3CDTF">2023-10-11T13:08:00Z</dcterms:created>
  <dcterms:modified xsi:type="dcterms:W3CDTF">2023-10-11T13:08:00Z</dcterms:modified>
</cp:coreProperties>
</file>