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95" w14:textId="77777777" w:rsidR="002F0BDC" w:rsidRPr="002F0BDC" w:rsidRDefault="002F0BDC" w:rsidP="002F0BDC">
      <w:pPr>
        <w:rPr>
          <w:b/>
          <w:bCs/>
          <w:lang w:val="en-US"/>
        </w:rPr>
      </w:pPr>
      <w:r w:rsidRPr="002F0BDC">
        <w:rPr>
          <w:b/>
          <w:bCs/>
          <w:lang w:val="en-US"/>
        </w:rPr>
        <w:t>Strategic Optimization of the Operating Cycle: A Comprehensive Framework for Indian Listed Entities</w:t>
      </w:r>
    </w:p>
    <w:p w14:paraId="3E9E3756" w14:textId="77777777" w:rsidR="002F0BDC" w:rsidRPr="002F0BDC" w:rsidRDefault="002F0BDC" w:rsidP="002F0BDC">
      <w:pPr>
        <w:rPr>
          <w:lang w:val="en-US"/>
        </w:rPr>
      </w:pPr>
      <w:r w:rsidRPr="002F0BDC">
        <w:rPr>
          <w:lang w:val="en-US"/>
        </w:rPr>
        <w:t>The financial health of an Indian listed entity is inextricably linked to its ability to manage the temporal gap between the deployment of capital and the realization of cash. In an economy characterized by a complex interplay of high-growth aspirations and structural credit constraints, the Operating Cycle, or Cash Conversion Cycle (CCC), emerges as the most critical diagnostic tool for C-suite executives. While revenue growth and EBITDA margins often dominate investor calls, the underlying efficiency of working capital management serves as the ultimate arbiter of a firm's long-term Return on Capital Employed (ROCE) and valuation multiples.   </w:t>
      </w:r>
    </w:p>
    <w:p w14:paraId="56BDBFA6" w14:textId="77777777" w:rsidR="002F0BDC" w:rsidRPr="002F0BDC" w:rsidRDefault="002F0BDC" w:rsidP="002F0BDC">
      <w:pPr>
        <w:rPr>
          <w:b/>
          <w:bCs/>
          <w:lang w:val="en-US"/>
        </w:rPr>
      </w:pPr>
      <w:r w:rsidRPr="002F0BDC">
        <w:rPr>
          <w:b/>
          <w:bCs/>
          <w:lang w:val="en-US"/>
        </w:rPr>
        <w:t>The Strategic Nexus of Liquidity and Growth</w:t>
      </w:r>
    </w:p>
    <w:p w14:paraId="486E223D" w14:textId="77777777" w:rsidR="002F0BDC" w:rsidRPr="002F0BDC" w:rsidRDefault="002F0BDC" w:rsidP="002F0BDC">
      <w:pPr>
        <w:rPr>
          <w:lang w:val="en-US"/>
        </w:rPr>
      </w:pPr>
      <w:r w:rsidRPr="002F0BDC">
        <w:rPr>
          <w:lang w:val="en-US"/>
        </w:rPr>
        <w:t>In the contemporary Indian macroeconomic landscape, growth is frequently inhibited not by a lack of demand but by the inefficient utilization of capital. Data from the 2024-2025 fiscal period indicates that while real GDP growth remains resilient at approximately 6.5%, the manufacturing sector has faced headwinds from decelerated activity and fluctuating input costs. For a typical Indian listed company, an elongated operating cycle represents more than just a liquidity inconvenience; it signifies a strategic failure to convert operational activity into investable cash.   </w:t>
      </w:r>
    </w:p>
    <w:p w14:paraId="44245D52" w14:textId="77777777" w:rsidR="002F0BDC" w:rsidRPr="002F0BDC" w:rsidRDefault="002F0BDC" w:rsidP="002F0BDC">
      <w:pPr>
        <w:rPr>
          <w:lang w:val="en-US"/>
        </w:rPr>
      </w:pPr>
      <w:r w:rsidRPr="002F0BDC">
        <w:rPr>
          <w:lang w:val="en-US"/>
        </w:rPr>
        <w:t>The reliance on short-term borrowing to fund bloated inventory or delayed receivables creates a "drag" on profitability, particularly in an environment where average interest rates for manufacturers hover around 8.85%. Consequently, the optimization of the operating cycle is not merely a task for the finance department but a strategic imperative for the CEO and the Board to ensure that the organization can fund its expansion through internal accruals rather than dilutive equity or expensive debt.   </w:t>
      </w:r>
    </w:p>
    <w:p w14:paraId="421CE07D" w14:textId="77777777" w:rsidR="002F0BDC" w:rsidRPr="002F0BDC" w:rsidRDefault="002F0BDC" w:rsidP="002F0BDC">
      <w:pPr>
        <w:rPr>
          <w:b/>
          <w:bCs/>
          <w:lang w:val="en-US"/>
        </w:rPr>
      </w:pPr>
      <w:r w:rsidRPr="002F0BDC">
        <w:rPr>
          <w:b/>
          <w:bCs/>
          <w:lang w:val="en-US"/>
        </w:rPr>
        <w:t>Deconstructing the Operating Cycle: Mathematical and Operational Foundations</w:t>
      </w:r>
    </w:p>
    <w:p w14:paraId="68DD031C" w14:textId="77777777" w:rsidR="002F0BDC" w:rsidRPr="002F0BDC" w:rsidRDefault="002F0BDC" w:rsidP="002F0BDC">
      <w:pPr>
        <w:rPr>
          <w:lang w:val="en-US"/>
        </w:rPr>
      </w:pPr>
      <w:r w:rsidRPr="002F0BDC">
        <w:rPr>
          <w:lang w:val="en-US"/>
        </w:rPr>
        <w:t>The Operating Cycle measures the time required for a company to convert its investments in inventory and other resources back into cash. From a management perspective, it is essential to distinguish between the gross Operating Cycle and the net Cash Conversion Cycle. While the former focuses on the duration of operational processes, the latter incorporates the credit leverage obtained from suppliers.   </w:t>
      </w:r>
    </w:p>
    <w:p w14:paraId="01CD3200" w14:textId="77777777" w:rsidR="002F0BDC" w:rsidRPr="002F0BDC" w:rsidRDefault="002F0BDC" w:rsidP="002F0BDC">
      <w:pPr>
        <w:rPr>
          <w:lang w:val="en-US"/>
        </w:rPr>
      </w:pPr>
      <w:r w:rsidRPr="002F0BDC">
        <w:rPr>
          <w:lang w:val="en-US"/>
        </w:rPr>
        <w:t xml:space="preserve">The Cash Conversion Cycle is expressed as a temporal sum of three distinct operational metrics, each representing a specific phase of the capital </w:t>
      </w:r>
      <w:proofErr w:type="gramStart"/>
      <w:r w:rsidRPr="002F0BDC">
        <w:rPr>
          <w:lang w:val="en-US"/>
        </w:rPr>
        <w:t>journey :</w:t>
      </w:r>
      <w:proofErr w:type="gramEnd"/>
      <w:r w:rsidRPr="002F0BDC">
        <w:rPr>
          <w:lang w:val="en-US"/>
        </w:rPr>
        <w:t>   </w:t>
      </w:r>
    </w:p>
    <w:p w14:paraId="3803E1E6" w14:textId="77777777" w:rsidR="002F0BDC" w:rsidRPr="002F0BDC" w:rsidRDefault="002F0BDC" w:rsidP="002F0BDC">
      <w:proofErr w:type="spellStart"/>
      <w:r w:rsidRPr="002F0BDC">
        <w:t>Where</w:t>
      </w:r>
      <w:proofErr w:type="spellEnd"/>
      <w:r w:rsidRPr="002F0BDC">
        <w:t>:</w:t>
      </w:r>
    </w:p>
    <w:p w14:paraId="07FDFB5E" w14:textId="77777777" w:rsidR="002F0BDC" w:rsidRPr="002F0BDC" w:rsidRDefault="002F0BDC" w:rsidP="002F0BDC">
      <w:pPr>
        <w:numPr>
          <w:ilvl w:val="0"/>
          <w:numId w:val="1"/>
        </w:numPr>
        <w:rPr>
          <w:lang w:val="en-US"/>
        </w:rPr>
      </w:pPr>
      <w:r w:rsidRPr="002F0BDC">
        <w:rPr>
          <w:b/>
          <w:bCs/>
          <w:lang w:val="en-US"/>
        </w:rPr>
        <w:t>DIO (Days Inventory Outstanding):</w:t>
      </w:r>
      <w:r w:rsidRPr="002F0BDC">
        <w:rPr>
          <w:lang w:val="en-US"/>
        </w:rPr>
        <w:t xml:space="preserve"> The average duration for which capital is locked in raw materials, work-in-progress, and finished goods.</w:t>
      </w:r>
    </w:p>
    <w:p w14:paraId="35A10237" w14:textId="77777777" w:rsidR="002F0BDC" w:rsidRPr="002F0BDC" w:rsidRDefault="002F0BDC" w:rsidP="002F0BDC">
      <w:pPr>
        <w:numPr>
          <w:ilvl w:val="0"/>
          <w:numId w:val="1"/>
        </w:numPr>
        <w:rPr>
          <w:lang w:val="en-US"/>
        </w:rPr>
      </w:pPr>
      <w:r w:rsidRPr="002F0BDC">
        <w:rPr>
          <w:b/>
          <w:bCs/>
          <w:lang w:val="en-US"/>
        </w:rPr>
        <w:lastRenderedPageBreak/>
        <w:t>DSO (Days Sales Outstanding):</w:t>
      </w:r>
      <w:r w:rsidRPr="002F0BDC">
        <w:rPr>
          <w:lang w:val="en-US"/>
        </w:rPr>
        <w:t xml:space="preserve"> The average time elapsed between the issuance of an invoice and the actual receipt of cash from the customer.</w:t>
      </w:r>
    </w:p>
    <w:p w14:paraId="7CDED33D" w14:textId="77777777" w:rsidR="002F0BDC" w:rsidRPr="002F0BDC" w:rsidRDefault="002F0BDC" w:rsidP="002F0BDC">
      <w:pPr>
        <w:numPr>
          <w:ilvl w:val="0"/>
          <w:numId w:val="1"/>
        </w:numPr>
        <w:rPr>
          <w:lang w:val="en-US"/>
        </w:rPr>
      </w:pPr>
      <w:r w:rsidRPr="002F0BDC">
        <w:rPr>
          <w:b/>
          <w:bCs/>
          <w:lang w:val="en-US"/>
        </w:rPr>
        <w:t>DPO (Days Payable Outstanding):</w:t>
      </w:r>
      <w:r w:rsidRPr="002F0BDC">
        <w:rPr>
          <w:lang w:val="en-US"/>
        </w:rPr>
        <w:t xml:space="preserve"> The average time a company takes to settle its obligations to its vendors and suppliers.</w:t>
      </w:r>
    </w:p>
    <w:p w14:paraId="0B5AD482" w14:textId="77777777" w:rsidR="002F0BDC" w:rsidRPr="002F0BDC" w:rsidRDefault="002F0BDC" w:rsidP="002F0BDC">
      <w:pPr>
        <w:rPr>
          <w:b/>
          <w:bCs/>
          <w:lang w:val="en-US"/>
        </w:rPr>
      </w:pPr>
      <w:r w:rsidRPr="002F0BDC">
        <w:rPr>
          <w:b/>
          <w:bCs/>
          <w:lang w:val="en-US"/>
        </w:rPr>
        <w:t>The Component Formulas</w:t>
      </w:r>
    </w:p>
    <w:p w14:paraId="369730C1" w14:textId="77777777" w:rsidR="002F0BDC" w:rsidRPr="002F0BDC" w:rsidRDefault="002F0BDC" w:rsidP="002F0BDC">
      <w:pPr>
        <w:rPr>
          <w:lang w:val="en-US"/>
        </w:rPr>
      </w:pPr>
      <w:r w:rsidRPr="002F0BDC">
        <w:rPr>
          <w:lang w:val="en-US"/>
        </w:rPr>
        <w:t>A rigorous diagnostic using data from Screener.in requires the precise application of these formulas to historical financial statements.   </w:t>
      </w:r>
    </w:p>
    <w:p w14:paraId="6136386C" w14:textId="77777777" w:rsidR="002F0BDC" w:rsidRPr="002F0BDC" w:rsidRDefault="002F0BDC" w:rsidP="002F0BDC">
      <w:pPr>
        <w:numPr>
          <w:ilvl w:val="0"/>
          <w:numId w:val="2"/>
        </w:numPr>
        <w:rPr>
          <w:lang w:val="en-US"/>
        </w:rPr>
      </w:pPr>
      <w:r w:rsidRPr="002F0BDC">
        <w:rPr>
          <w:b/>
          <w:bCs/>
          <w:lang w:val="en-US"/>
        </w:rPr>
        <w:t>Days Inventory Outstanding (DIO):</w:t>
      </w:r>
      <w:r w:rsidRPr="002F0BDC">
        <w:rPr>
          <w:lang w:val="en-US"/>
        </w:rPr>
        <w:t xml:space="preserve"> This metric evaluates the efficiency of the supply chain and production planning.</w:t>
      </w:r>
    </w:p>
    <w:p w14:paraId="781F7F0B" w14:textId="77777777" w:rsidR="002F0BDC" w:rsidRPr="002F0BDC" w:rsidRDefault="002F0BDC" w:rsidP="002F0BDC">
      <w:pPr>
        <w:rPr>
          <w:lang w:val="en-US"/>
        </w:rPr>
      </w:pPr>
      <w:r w:rsidRPr="002F0BDC">
        <w:rPr>
          <w:lang w:val="en-US"/>
        </w:rPr>
        <w:t>   </w:t>
      </w:r>
    </w:p>
    <w:p w14:paraId="6B59B3D7" w14:textId="77777777" w:rsidR="002F0BDC" w:rsidRPr="002F0BDC" w:rsidRDefault="002F0BDC" w:rsidP="002F0BDC">
      <w:pPr>
        <w:numPr>
          <w:ilvl w:val="0"/>
          <w:numId w:val="2"/>
        </w:numPr>
        <w:rPr>
          <w:lang w:val="en-US"/>
        </w:rPr>
      </w:pPr>
      <w:r w:rsidRPr="002F0BDC">
        <w:rPr>
          <w:b/>
          <w:bCs/>
          <w:lang w:val="en-US"/>
        </w:rPr>
        <w:t>Days Sales Outstanding (DSO):</w:t>
      </w:r>
      <w:r w:rsidRPr="002F0BDC">
        <w:rPr>
          <w:lang w:val="en-US"/>
        </w:rPr>
        <w:t xml:space="preserve"> Also known as Debtor Days, this measures the effectiveness of the credit policy and collection machinery.</w:t>
      </w:r>
    </w:p>
    <w:p w14:paraId="6B554034" w14:textId="77777777" w:rsidR="002F0BDC" w:rsidRPr="002F0BDC" w:rsidRDefault="002F0BDC" w:rsidP="002F0BDC">
      <w:pPr>
        <w:rPr>
          <w:lang w:val="en-US"/>
        </w:rPr>
      </w:pPr>
      <w:r w:rsidRPr="002F0BDC">
        <w:rPr>
          <w:lang w:val="en-US"/>
        </w:rPr>
        <w:t>   </w:t>
      </w:r>
    </w:p>
    <w:p w14:paraId="408D09E5" w14:textId="77777777" w:rsidR="002F0BDC" w:rsidRPr="002F0BDC" w:rsidRDefault="002F0BDC" w:rsidP="002F0BDC">
      <w:pPr>
        <w:numPr>
          <w:ilvl w:val="0"/>
          <w:numId w:val="2"/>
        </w:numPr>
        <w:rPr>
          <w:lang w:val="en-US"/>
        </w:rPr>
      </w:pPr>
      <w:r w:rsidRPr="002F0BDC">
        <w:rPr>
          <w:b/>
          <w:bCs/>
          <w:lang w:val="en-US"/>
        </w:rPr>
        <w:t>Days Payable Outstanding (DPO):</w:t>
      </w:r>
      <w:r w:rsidRPr="002F0BDC">
        <w:rPr>
          <w:lang w:val="en-US"/>
        </w:rPr>
        <w:t xml:space="preserve"> Commonly referred to as Creditor Days, this reflects the company’s ability to leverage its bargaining power with suppliers.</w:t>
      </w:r>
    </w:p>
    <w:p w14:paraId="7DC16B88" w14:textId="77777777" w:rsidR="002F0BDC" w:rsidRPr="002F0BDC" w:rsidRDefault="002F0BDC" w:rsidP="002F0BDC">
      <w:pPr>
        <w:rPr>
          <w:lang w:val="en-US"/>
        </w:rPr>
      </w:pPr>
      <w:r w:rsidRPr="002F0BDC">
        <w:rPr>
          <w:lang w:val="en-US"/>
        </w:rPr>
        <w:t>   </w:t>
      </w:r>
    </w:p>
    <w:p w14:paraId="00473C58" w14:textId="77777777" w:rsidR="002F0BDC" w:rsidRPr="002F0BDC" w:rsidRDefault="002F0BDC" w:rsidP="002F0BDC">
      <w:pPr>
        <w:rPr>
          <w:lang w:val="en-US"/>
        </w:rPr>
      </w:pPr>
      <w:r w:rsidRPr="002F0BDC">
        <w:rPr>
          <w:lang w:val="en-US"/>
        </w:rPr>
        <w:t>A negative CCC, as observed in best-in-class FMCG companies like Hindustan Unilever (HUL) or Nestle India, indicates that the company receives cash from customers before it is required to pay its suppliers. This scenario represents the pinnacle of operational efficiency, essentially allowing the company to use supplier capital as a zero-cost source of growth financing.   </w:t>
      </w:r>
    </w:p>
    <w:p w14:paraId="47E299DD" w14:textId="77777777" w:rsidR="002F0BDC" w:rsidRPr="002F0BDC" w:rsidRDefault="002F0BDC" w:rsidP="002F0BDC">
      <w:pPr>
        <w:rPr>
          <w:b/>
          <w:bCs/>
          <w:lang w:val="en-US"/>
        </w:rPr>
      </w:pPr>
      <w:r w:rsidRPr="002F0BDC">
        <w:rPr>
          <w:b/>
          <w:bCs/>
          <w:lang w:val="en-US"/>
        </w:rPr>
        <w:t xml:space="preserve">Diagnostic Framework: Identifying </w:t>
      </w:r>
      <w:proofErr w:type="gramStart"/>
      <w:r w:rsidRPr="002F0BDC">
        <w:rPr>
          <w:b/>
          <w:bCs/>
          <w:lang w:val="en-US"/>
        </w:rPr>
        <w:t>the Primary</w:t>
      </w:r>
      <w:proofErr w:type="gramEnd"/>
      <w:r w:rsidRPr="002F0BDC">
        <w:rPr>
          <w:b/>
          <w:bCs/>
          <w:lang w:val="en-US"/>
        </w:rPr>
        <w:t xml:space="preserve"> Inefficiency</w:t>
      </w:r>
    </w:p>
    <w:p w14:paraId="5B359F55" w14:textId="77777777" w:rsidR="002F0BDC" w:rsidRPr="002F0BDC" w:rsidRDefault="002F0BDC" w:rsidP="002F0BDC">
      <w:pPr>
        <w:rPr>
          <w:lang w:val="en-US"/>
        </w:rPr>
      </w:pPr>
      <w:r w:rsidRPr="002F0BDC">
        <w:rPr>
          <w:lang w:val="en-US"/>
        </w:rPr>
        <w:t xml:space="preserve">When analyzing an Indian listed company's performance over a </w:t>
      </w:r>
      <w:proofErr w:type="gramStart"/>
      <w:r w:rsidRPr="002F0BDC">
        <w:rPr>
          <w:lang w:val="en-US"/>
        </w:rPr>
        <w:t>5-10 year</w:t>
      </w:r>
      <w:proofErr w:type="gramEnd"/>
      <w:r w:rsidRPr="002F0BDC">
        <w:rPr>
          <w:lang w:val="en-US"/>
        </w:rPr>
        <w:t xml:space="preserve"> horizon, management must identify which of the three components is the primary driver of capital lock-up. In many Indian manufacturing and engineering firms, the "problem" component is often a result of systemic market practices or internal process failures.   </w:t>
      </w:r>
    </w:p>
    <w:tbl>
      <w:tblPr>
        <w:tblW w:w="90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01"/>
        <w:gridCol w:w="3498"/>
        <w:gridCol w:w="3801"/>
      </w:tblGrid>
      <w:tr w:rsidR="002F0BDC" w:rsidRPr="002F0BDC" w14:paraId="1ABCFB6C" w14:textId="77777777">
        <w:trPr>
          <w:tblHeader/>
          <w:tblCellSpacing w:w="15" w:type="dxa"/>
        </w:trPr>
        <w:tc>
          <w:tcPr>
            <w:tcW w:w="0" w:type="auto"/>
            <w:shd w:val="clear" w:color="auto" w:fill="F8FAFD"/>
            <w:tcMar>
              <w:top w:w="120" w:type="dxa"/>
              <w:left w:w="180" w:type="dxa"/>
              <w:bottom w:w="120" w:type="dxa"/>
              <w:right w:w="180" w:type="dxa"/>
            </w:tcMar>
            <w:hideMark/>
          </w:tcPr>
          <w:p w14:paraId="332E6542" w14:textId="77777777" w:rsidR="002F0BDC" w:rsidRPr="002F0BDC" w:rsidRDefault="002F0BDC" w:rsidP="002F0BDC">
            <w:proofErr w:type="spellStart"/>
            <w:r w:rsidRPr="002F0BDC">
              <w:rPr>
                <w:b/>
                <w:bCs/>
              </w:rPr>
              <w:t>Component</w:t>
            </w:r>
            <w:proofErr w:type="spellEnd"/>
          </w:p>
        </w:tc>
        <w:tc>
          <w:tcPr>
            <w:tcW w:w="0" w:type="auto"/>
            <w:shd w:val="clear" w:color="auto" w:fill="F8FAFD"/>
            <w:tcMar>
              <w:top w:w="120" w:type="dxa"/>
              <w:left w:w="180" w:type="dxa"/>
              <w:bottom w:w="120" w:type="dxa"/>
              <w:right w:w="180" w:type="dxa"/>
            </w:tcMar>
            <w:hideMark/>
          </w:tcPr>
          <w:p w14:paraId="15EF659A" w14:textId="77777777" w:rsidR="002F0BDC" w:rsidRPr="002F0BDC" w:rsidRDefault="002F0BDC" w:rsidP="002F0BDC">
            <w:r w:rsidRPr="002F0BDC">
              <w:rPr>
                <w:b/>
                <w:bCs/>
              </w:rPr>
              <w:t xml:space="preserve">Symptom of </w:t>
            </w:r>
            <w:proofErr w:type="spellStart"/>
            <w:r w:rsidRPr="002F0BDC">
              <w:rPr>
                <w:b/>
                <w:bCs/>
              </w:rPr>
              <w:t>Inefficiency</w:t>
            </w:r>
            <w:proofErr w:type="spellEnd"/>
          </w:p>
        </w:tc>
        <w:tc>
          <w:tcPr>
            <w:tcW w:w="0" w:type="auto"/>
            <w:shd w:val="clear" w:color="auto" w:fill="F8FAFD"/>
            <w:tcMar>
              <w:top w:w="120" w:type="dxa"/>
              <w:left w:w="180" w:type="dxa"/>
              <w:bottom w:w="120" w:type="dxa"/>
              <w:right w:w="180" w:type="dxa"/>
            </w:tcMar>
            <w:hideMark/>
          </w:tcPr>
          <w:p w14:paraId="1C198982" w14:textId="77777777" w:rsidR="002F0BDC" w:rsidRPr="002F0BDC" w:rsidRDefault="002F0BDC" w:rsidP="002F0BDC">
            <w:r w:rsidRPr="002F0BDC">
              <w:rPr>
                <w:b/>
                <w:bCs/>
              </w:rPr>
              <w:t xml:space="preserve">Potential Root </w:t>
            </w:r>
            <w:proofErr w:type="spellStart"/>
            <w:r w:rsidRPr="002F0BDC">
              <w:rPr>
                <w:b/>
                <w:bCs/>
              </w:rPr>
              <w:t>Cause</w:t>
            </w:r>
            <w:proofErr w:type="spellEnd"/>
          </w:p>
        </w:tc>
      </w:tr>
      <w:tr w:rsidR="002F0BDC" w:rsidRPr="002F0BDC" w14:paraId="55DB57A8" w14:textId="77777777">
        <w:trPr>
          <w:tblCellSpacing w:w="15" w:type="dxa"/>
        </w:trPr>
        <w:tc>
          <w:tcPr>
            <w:tcW w:w="0" w:type="auto"/>
            <w:shd w:val="clear" w:color="auto" w:fill="F8FAFD"/>
            <w:tcMar>
              <w:top w:w="120" w:type="dxa"/>
              <w:left w:w="180" w:type="dxa"/>
              <w:bottom w:w="120" w:type="dxa"/>
              <w:right w:w="180" w:type="dxa"/>
            </w:tcMar>
            <w:hideMark/>
          </w:tcPr>
          <w:p w14:paraId="5F0624BE" w14:textId="77777777" w:rsidR="002F0BDC" w:rsidRPr="002F0BDC" w:rsidRDefault="002F0BDC" w:rsidP="002F0BDC">
            <w:r w:rsidRPr="002F0BDC">
              <w:rPr>
                <w:b/>
                <w:bCs/>
              </w:rPr>
              <w:t>High DIO</w:t>
            </w:r>
          </w:p>
        </w:tc>
        <w:tc>
          <w:tcPr>
            <w:tcW w:w="0" w:type="auto"/>
            <w:shd w:val="clear" w:color="auto" w:fill="F8FAFD"/>
            <w:tcMar>
              <w:top w:w="120" w:type="dxa"/>
              <w:left w:w="180" w:type="dxa"/>
              <w:bottom w:w="120" w:type="dxa"/>
              <w:right w:w="180" w:type="dxa"/>
            </w:tcMar>
            <w:hideMark/>
          </w:tcPr>
          <w:p w14:paraId="09BC63F2" w14:textId="77777777" w:rsidR="002F0BDC" w:rsidRPr="002F0BDC" w:rsidRDefault="002F0BDC" w:rsidP="002F0BDC">
            <w:pPr>
              <w:rPr>
                <w:lang w:val="en-US"/>
              </w:rPr>
            </w:pPr>
            <w:r w:rsidRPr="002F0BDC">
              <w:rPr>
                <w:lang w:val="en-US"/>
              </w:rPr>
              <w:t>Stagnant stock, frequent write-downs, high warehousing costs</w:t>
            </w:r>
          </w:p>
        </w:tc>
        <w:tc>
          <w:tcPr>
            <w:tcW w:w="0" w:type="auto"/>
            <w:shd w:val="clear" w:color="auto" w:fill="F8FAFD"/>
            <w:tcMar>
              <w:top w:w="120" w:type="dxa"/>
              <w:left w:w="180" w:type="dxa"/>
              <w:bottom w:w="120" w:type="dxa"/>
              <w:right w:w="180" w:type="dxa"/>
            </w:tcMar>
            <w:hideMark/>
          </w:tcPr>
          <w:p w14:paraId="1B52E301" w14:textId="77777777" w:rsidR="002F0BDC" w:rsidRPr="002F0BDC" w:rsidRDefault="002F0BDC" w:rsidP="002F0BDC">
            <w:pPr>
              <w:rPr>
                <w:lang w:val="en-US"/>
              </w:rPr>
            </w:pPr>
            <w:r w:rsidRPr="002F0BDC">
              <w:rPr>
                <w:lang w:val="en-US"/>
              </w:rPr>
              <w:t xml:space="preserve">Poor demand forecasting, "Just-in-Case" stocking, production bottlenecks </w:t>
            </w:r>
          </w:p>
        </w:tc>
      </w:tr>
      <w:tr w:rsidR="002F0BDC" w:rsidRPr="002F0BDC" w14:paraId="7F745DCD" w14:textId="77777777">
        <w:trPr>
          <w:tblCellSpacing w:w="15" w:type="dxa"/>
        </w:trPr>
        <w:tc>
          <w:tcPr>
            <w:tcW w:w="0" w:type="auto"/>
            <w:shd w:val="clear" w:color="auto" w:fill="F8FAFD"/>
            <w:tcMar>
              <w:top w:w="120" w:type="dxa"/>
              <w:left w:w="180" w:type="dxa"/>
              <w:bottom w:w="120" w:type="dxa"/>
              <w:right w:w="180" w:type="dxa"/>
            </w:tcMar>
            <w:hideMark/>
          </w:tcPr>
          <w:p w14:paraId="5ABEAE02" w14:textId="77777777" w:rsidR="002F0BDC" w:rsidRPr="002F0BDC" w:rsidRDefault="002F0BDC" w:rsidP="002F0BDC">
            <w:r w:rsidRPr="002F0BDC">
              <w:rPr>
                <w:b/>
                <w:bCs/>
              </w:rPr>
              <w:lastRenderedPageBreak/>
              <w:t>High DSO</w:t>
            </w:r>
          </w:p>
        </w:tc>
        <w:tc>
          <w:tcPr>
            <w:tcW w:w="0" w:type="auto"/>
            <w:shd w:val="clear" w:color="auto" w:fill="F8FAFD"/>
            <w:tcMar>
              <w:top w:w="120" w:type="dxa"/>
              <w:left w:w="180" w:type="dxa"/>
              <w:bottom w:w="120" w:type="dxa"/>
              <w:right w:w="180" w:type="dxa"/>
            </w:tcMar>
            <w:hideMark/>
          </w:tcPr>
          <w:p w14:paraId="602664BB" w14:textId="77777777" w:rsidR="002F0BDC" w:rsidRPr="002F0BDC" w:rsidRDefault="002F0BDC" w:rsidP="002F0BDC">
            <w:pPr>
              <w:rPr>
                <w:lang w:val="en-US"/>
              </w:rPr>
            </w:pPr>
            <w:r w:rsidRPr="002F0BDC">
              <w:rPr>
                <w:lang w:val="en-US"/>
              </w:rPr>
              <w:t>Rising bad debt provisions, wide gap between EBITDA and OCF</w:t>
            </w:r>
          </w:p>
        </w:tc>
        <w:tc>
          <w:tcPr>
            <w:tcW w:w="0" w:type="auto"/>
            <w:shd w:val="clear" w:color="auto" w:fill="F8FAFD"/>
            <w:tcMar>
              <w:top w:w="120" w:type="dxa"/>
              <w:left w:w="180" w:type="dxa"/>
              <w:bottom w:w="120" w:type="dxa"/>
              <w:right w:w="180" w:type="dxa"/>
            </w:tcMar>
            <w:hideMark/>
          </w:tcPr>
          <w:p w14:paraId="3BF34A40" w14:textId="77777777" w:rsidR="002F0BDC" w:rsidRPr="002F0BDC" w:rsidRDefault="002F0BDC" w:rsidP="002F0BDC">
            <w:pPr>
              <w:rPr>
                <w:lang w:val="en-US"/>
              </w:rPr>
            </w:pPr>
            <w:r w:rsidRPr="002F0BDC">
              <w:rPr>
                <w:lang w:val="en-US"/>
              </w:rPr>
              <w:t xml:space="preserve">Loose credit terms, ineffective collection processes, disputed invoices </w:t>
            </w:r>
          </w:p>
        </w:tc>
      </w:tr>
      <w:tr w:rsidR="002F0BDC" w:rsidRPr="002F0BDC" w14:paraId="34391D22" w14:textId="77777777">
        <w:trPr>
          <w:tblCellSpacing w:w="15" w:type="dxa"/>
        </w:trPr>
        <w:tc>
          <w:tcPr>
            <w:tcW w:w="0" w:type="auto"/>
            <w:shd w:val="clear" w:color="auto" w:fill="F8FAFD"/>
            <w:tcMar>
              <w:top w:w="120" w:type="dxa"/>
              <w:left w:w="180" w:type="dxa"/>
              <w:bottom w:w="120" w:type="dxa"/>
              <w:right w:w="180" w:type="dxa"/>
            </w:tcMar>
            <w:hideMark/>
          </w:tcPr>
          <w:p w14:paraId="2E3F7889" w14:textId="77777777" w:rsidR="002F0BDC" w:rsidRPr="002F0BDC" w:rsidRDefault="002F0BDC" w:rsidP="002F0BDC">
            <w:r w:rsidRPr="002F0BDC">
              <w:rPr>
                <w:b/>
                <w:bCs/>
              </w:rPr>
              <w:t>Low DPO</w:t>
            </w:r>
          </w:p>
        </w:tc>
        <w:tc>
          <w:tcPr>
            <w:tcW w:w="0" w:type="auto"/>
            <w:shd w:val="clear" w:color="auto" w:fill="F8FAFD"/>
            <w:tcMar>
              <w:top w:w="120" w:type="dxa"/>
              <w:left w:w="180" w:type="dxa"/>
              <w:bottom w:w="120" w:type="dxa"/>
              <w:right w:w="180" w:type="dxa"/>
            </w:tcMar>
            <w:hideMark/>
          </w:tcPr>
          <w:p w14:paraId="53FFEB5F" w14:textId="77777777" w:rsidR="002F0BDC" w:rsidRPr="002F0BDC" w:rsidRDefault="002F0BDC" w:rsidP="002F0BDC">
            <w:pPr>
              <w:rPr>
                <w:lang w:val="en-US"/>
              </w:rPr>
            </w:pPr>
            <w:r w:rsidRPr="002F0BDC">
              <w:rPr>
                <w:lang w:val="en-US"/>
              </w:rPr>
              <w:t>High reliance on working capital loans, missed early payment discounts</w:t>
            </w:r>
          </w:p>
        </w:tc>
        <w:tc>
          <w:tcPr>
            <w:tcW w:w="0" w:type="auto"/>
            <w:shd w:val="clear" w:color="auto" w:fill="F8FAFD"/>
            <w:tcMar>
              <w:top w:w="120" w:type="dxa"/>
              <w:left w:w="180" w:type="dxa"/>
              <w:bottom w:w="120" w:type="dxa"/>
              <w:right w:w="180" w:type="dxa"/>
            </w:tcMar>
            <w:hideMark/>
          </w:tcPr>
          <w:p w14:paraId="1BF57FEB" w14:textId="77777777" w:rsidR="002F0BDC" w:rsidRPr="002F0BDC" w:rsidRDefault="002F0BDC" w:rsidP="002F0BDC">
            <w:pPr>
              <w:rPr>
                <w:lang w:val="en-US"/>
              </w:rPr>
            </w:pPr>
            <w:r w:rsidRPr="002F0BDC">
              <w:rPr>
                <w:lang w:val="en-US"/>
              </w:rPr>
              <w:t xml:space="preserve">Lack of bargaining power, fragmented procurement, erratic payment schedules </w:t>
            </w:r>
          </w:p>
        </w:tc>
      </w:tr>
    </w:tbl>
    <w:p w14:paraId="0E1F7520" w14:textId="77777777" w:rsidR="002F0BDC" w:rsidRPr="002F0BDC" w:rsidRDefault="002F0BDC" w:rsidP="002F0BDC">
      <w:pPr>
        <w:rPr>
          <w:lang w:val="en-US"/>
        </w:rPr>
      </w:pPr>
      <w:r w:rsidRPr="002F0BDC">
        <w:rPr>
          <w:lang w:val="en-US"/>
        </w:rPr>
        <w:t>  </w:t>
      </w:r>
    </w:p>
    <w:p w14:paraId="67DD02F2" w14:textId="77777777" w:rsidR="002F0BDC" w:rsidRPr="002F0BDC" w:rsidRDefault="002F0BDC" w:rsidP="002F0BDC">
      <w:pPr>
        <w:rPr>
          <w:lang w:val="en-US"/>
        </w:rPr>
      </w:pPr>
      <w:r w:rsidRPr="002F0BDC">
        <w:rPr>
          <w:lang w:val="en-US"/>
        </w:rPr>
        <w:t xml:space="preserve">A 10-year trend analysis on Screener.in typically reveals whether the high operating cycle is a structural characteristic of the industry or a deteriorating internal performance metric. </w:t>
      </w:r>
      <w:proofErr w:type="gramStart"/>
      <w:r w:rsidRPr="002F0BDC">
        <w:rPr>
          <w:lang w:val="en-US"/>
        </w:rPr>
        <w:t>If</w:t>
      </w:r>
      <w:proofErr w:type="gramEnd"/>
      <w:r w:rsidRPr="002F0BDC">
        <w:rPr>
          <w:lang w:val="en-US"/>
        </w:rPr>
        <w:t xml:space="preserve"> is rising while revenue growth is flat, it often points to "channel stuffing" or a degradation in the quality of the customer base. </w:t>
      </w:r>
      <w:proofErr w:type="gramStart"/>
      <w:r w:rsidRPr="002F0BDC">
        <w:rPr>
          <w:lang w:val="en-US"/>
        </w:rPr>
        <w:t>If</w:t>
      </w:r>
      <w:proofErr w:type="gramEnd"/>
      <w:r w:rsidRPr="002F0BDC">
        <w:rPr>
          <w:lang w:val="en-US"/>
        </w:rPr>
        <w:t xml:space="preserve"> is increasing despite technological upgrades, it suggests that the "Pharma 4.0" or "Industry 4.0" investments are not yet translating into supply chain visibility.   </w:t>
      </w:r>
    </w:p>
    <w:p w14:paraId="24C6F234" w14:textId="77777777" w:rsidR="002F0BDC" w:rsidRPr="002F0BDC" w:rsidRDefault="002F0BDC" w:rsidP="002F0BDC">
      <w:pPr>
        <w:rPr>
          <w:b/>
          <w:bCs/>
          <w:lang w:val="en-US"/>
        </w:rPr>
      </w:pPr>
      <w:r w:rsidRPr="002F0BDC">
        <w:rPr>
          <w:b/>
          <w:bCs/>
          <w:lang w:val="en-US"/>
        </w:rPr>
        <w:t>The Screener.in Diagnostic: Red Flags and Analytical Triggers</w:t>
      </w:r>
    </w:p>
    <w:p w14:paraId="7F468B21" w14:textId="77777777" w:rsidR="002F0BDC" w:rsidRPr="002F0BDC" w:rsidRDefault="002F0BDC" w:rsidP="002F0BDC">
      <w:pPr>
        <w:rPr>
          <w:lang w:val="en-US"/>
        </w:rPr>
      </w:pPr>
      <w:r w:rsidRPr="002F0BDC">
        <w:rPr>
          <w:lang w:val="en-US"/>
        </w:rPr>
        <w:t>Sophisticated financial consultants use specific query logic on Screener.in to isolate companies with deteriorating working capital health. For a CEO or CFO, these metrics serve as early warning signals that require immediate intervention.   </w:t>
      </w:r>
    </w:p>
    <w:p w14:paraId="505473D0" w14:textId="77777777" w:rsidR="002F0BDC" w:rsidRPr="002F0BDC" w:rsidRDefault="002F0BDC" w:rsidP="002F0BDC">
      <w:pPr>
        <w:rPr>
          <w:b/>
          <w:bCs/>
          <w:lang w:val="en-US"/>
        </w:rPr>
      </w:pPr>
      <w:r w:rsidRPr="002F0BDC">
        <w:rPr>
          <w:b/>
          <w:bCs/>
          <w:lang w:val="en-US"/>
        </w:rPr>
        <w:t>Critical Red Flags in Working Capital Trends</w:t>
      </w:r>
    </w:p>
    <w:p w14:paraId="52EBD218" w14:textId="77777777" w:rsidR="002F0BDC" w:rsidRPr="002F0BDC" w:rsidRDefault="002F0BDC" w:rsidP="002F0BDC">
      <w:pPr>
        <w:numPr>
          <w:ilvl w:val="0"/>
          <w:numId w:val="3"/>
        </w:numPr>
        <w:rPr>
          <w:lang w:val="en-US"/>
        </w:rPr>
      </w:pPr>
      <w:r w:rsidRPr="002F0BDC">
        <w:rPr>
          <w:b/>
          <w:bCs/>
          <w:lang w:val="en-US"/>
        </w:rPr>
        <w:t>Operating Cash Flow (OCF) Persistence:</w:t>
      </w:r>
      <w:r w:rsidRPr="002F0BDC">
        <w:rPr>
          <w:lang w:val="en-US"/>
        </w:rPr>
        <w:t xml:space="preserve"> A chronic deficit where for more than three consecutive years is a severe warning sign. It implies that the reported profits are being consumed by an expanding balance sheet rather than reaching the bank account.   </w:t>
      </w:r>
    </w:p>
    <w:p w14:paraId="3BE7D343" w14:textId="77777777" w:rsidR="002F0BDC" w:rsidRPr="002F0BDC" w:rsidRDefault="002F0BDC" w:rsidP="002F0BDC">
      <w:pPr>
        <w:numPr>
          <w:ilvl w:val="0"/>
          <w:numId w:val="3"/>
        </w:numPr>
        <w:rPr>
          <w:lang w:val="en-US"/>
        </w:rPr>
      </w:pPr>
      <w:r w:rsidRPr="002F0BDC">
        <w:rPr>
          <w:b/>
          <w:bCs/>
          <w:lang w:val="en-US"/>
        </w:rPr>
        <w:t>The "Working Capital Trap":</w:t>
      </w:r>
      <w:r w:rsidRPr="002F0BDC">
        <w:rPr>
          <w:lang w:val="en-US"/>
        </w:rPr>
        <w:t xml:space="preserve"> When Working Capital Days exceed 120 days, the risk of technical insolvency increases, particularly if the Interest Coverage Ratio drops below 3.0.   </w:t>
      </w:r>
    </w:p>
    <w:p w14:paraId="47A0846F" w14:textId="77777777" w:rsidR="002F0BDC" w:rsidRPr="002F0BDC" w:rsidRDefault="002F0BDC" w:rsidP="002F0BDC">
      <w:pPr>
        <w:numPr>
          <w:ilvl w:val="0"/>
          <w:numId w:val="3"/>
        </w:numPr>
        <w:rPr>
          <w:lang w:val="en-US"/>
        </w:rPr>
      </w:pPr>
      <w:r w:rsidRPr="002F0BDC">
        <w:rPr>
          <w:b/>
          <w:bCs/>
          <w:lang w:val="en-US"/>
        </w:rPr>
        <w:t>Inventory-to-Sales Mismatch:</w:t>
      </w:r>
      <w:r w:rsidRPr="002F0BDC">
        <w:rPr>
          <w:lang w:val="en-US"/>
        </w:rPr>
        <w:t xml:space="preserve"> If inventory growth consistently outpaces sales growth by more than 15%, it suggests an accumulation of obsolete stock or a significant failure in the market's reception of the product.   </w:t>
      </w:r>
    </w:p>
    <w:p w14:paraId="74058105" w14:textId="77777777" w:rsidR="002F0BDC" w:rsidRPr="002F0BDC" w:rsidRDefault="002F0BDC" w:rsidP="002F0BDC">
      <w:pPr>
        <w:numPr>
          <w:ilvl w:val="0"/>
          <w:numId w:val="3"/>
        </w:numPr>
        <w:rPr>
          <w:lang w:val="en-US"/>
        </w:rPr>
      </w:pPr>
      <w:r w:rsidRPr="002F0BDC">
        <w:rPr>
          <w:b/>
          <w:bCs/>
          <w:lang w:val="en-US"/>
        </w:rPr>
        <w:t>Promoter Pledging and Liquidity:</w:t>
      </w:r>
      <w:r w:rsidRPr="002F0BDC">
        <w:rPr>
          <w:lang w:val="en-US"/>
        </w:rPr>
        <w:t xml:space="preserve"> In the Indian context, high levels of pledged shares (&gt;10%) combined with a rising cash conversion cycle often indicate that the promoters are under personal financial stress, which can lead to governance issues or a sudden loss of management focus.   </w:t>
      </w:r>
    </w:p>
    <w:p w14:paraId="12338FD6" w14:textId="77777777" w:rsidR="002F0BDC" w:rsidRPr="002F0BDC" w:rsidRDefault="002F0BDC" w:rsidP="002F0BDC">
      <w:pPr>
        <w:numPr>
          <w:ilvl w:val="0"/>
          <w:numId w:val="3"/>
        </w:numPr>
        <w:rPr>
          <w:lang w:val="en-US"/>
        </w:rPr>
      </w:pPr>
      <w:r w:rsidRPr="002F0BDC">
        <w:rPr>
          <w:b/>
          <w:bCs/>
          <w:lang w:val="en-US"/>
        </w:rPr>
        <w:lastRenderedPageBreak/>
        <w:t>Market Cap vs. Working Capital:</w:t>
      </w:r>
      <w:r w:rsidRPr="002F0BDC">
        <w:rPr>
          <w:lang w:val="en-US"/>
        </w:rPr>
        <w:t xml:space="preserve"> An anomaly where the Market Capitalization of a company is lower than its Net Working Capital suggests that the market has zero confidence in the company’s ability to ever liquidate its current assets effectively.   </w:t>
      </w:r>
    </w:p>
    <w:p w14:paraId="5F21B153" w14:textId="77777777" w:rsidR="002F0BDC" w:rsidRPr="002F0BDC" w:rsidRDefault="002F0BDC" w:rsidP="002F0BDC">
      <w:pPr>
        <w:rPr>
          <w:b/>
          <w:bCs/>
          <w:lang w:val="en-US"/>
        </w:rPr>
      </w:pPr>
      <w:r w:rsidRPr="002F0BDC">
        <w:rPr>
          <w:b/>
          <w:bCs/>
          <w:lang w:val="en-US"/>
        </w:rPr>
        <w:t>Screener.in Diagnostic Logic for Boards</w:t>
      </w:r>
    </w:p>
    <w:tbl>
      <w:tblPr>
        <w:tblW w:w="90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90"/>
        <w:gridCol w:w="2829"/>
        <w:gridCol w:w="3481"/>
      </w:tblGrid>
      <w:tr w:rsidR="002F0BDC" w:rsidRPr="002F0BDC" w14:paraId="5D2CD678" w14:textId="77777777">
        <w:trPr>
          <w:tblHeader/>
          <w:tblCellSpacing w:w="15" w:type="dxa"/>
        </w:trPr>
        <w:tc>
          <w:tcPr>
            <w:tcW w:w="0" w:type="auto"/>
            <w:shd w:val="clear" w:color="auto" w:fill="F8FAFD"/>
            <w:tcMar>
              <w:top w:w="120" w:type="dxa"/>
              <w:left w:w="180" w:type="dxa"/>
              <w:bottom w:w="120" w:type="dxa"/>
              <w:right w:w="180" w:type="dxa"/>
            </w:tcMar>
            <w:hideMark/>
          </w:tcPr>
          <w:p w14:paraId="2A9C99EA" w14:textId="77777777" w:rsidR="002F0BDC" w:rsidRPr="002F0BDC" w:rsidRDefault="002F0BDC" w:rsidP="002F0BDC">
            <w:proofErr w:type="spellStart"/>
            <w:r w:rsidRPr="002F0BDC">
              <w:rPr>
                <w:b/>
                <w:bCs/>
              </w:rPr>
              <w:t>Metric</w:t>
            </w:r>
            <w:proofErr w:type="spellEnd"/>
          </w:p>
        </w:tc>
        <w:tc>
          <w:tcPr>
            <w:tcW w:w="0" w:type="auto"/>
            <w:shd w:val="clear" w:color="auto" w:fill="F8FAFD"/>
            <w:tcMar>
              <w:top w:w="120" w:type="dxa"/>
              <w:left w:w="180" w:type="dxa"/>
              <w:bottom w:w="120" w:type="dxa"/>
              <w:right w:w="180" w:type="dxa"/>
            </w:tcMar>
            <w:hideMark/>
          </w:tcPr>
          <w:p w14:paraId="54C97AE7" w14:textId="77777777" w:rsidR="002F0BDC" w:rsidRPr="002F0BDC" w:rsidRDefault="002F0BDC" w:rsidP="002F0BDC">
            <w:r w:rsidRPr="002F0BDC">
              <w:rPr>
                <w:b/>
                <w:bCs/>
              </w:rPr>
              <w:t>Benchmark/Threshold</w:t>
            </w:r>
          </w:p>
        </w:tc>
        <w:tc>
          <w:tcPr>
            <w:tcW w:w="0" w:type="auto"/>
            <w:shd w:val="clear" w:color="auto" w:fill="F8FAFD"/>
            <w:tcMar>
              <w:top w:w="120" w:type="dxa"/>
              <w:left w:w="180" w:type="dxa"/>
              <w:bottom w:w="120" w:type="dxa"/>
              <w:right w:w="180" w:type="dxa"/>
            </w:tcMar>
            <w:hideMark/>
          </w:tcPr>
          <w:p w14:paraId="507CC20A" w14:textId="77777777" w:rsidR="002F0BDC" w:rsidRPr="002F0BDC" w:rsidRDefault="002F0BDC" w:rsidP="002F0BDC">
            <w:r w:rsidRPr="002F0BDC">
              <w:rPr>
                <w:b/>
                <w:bCs/>
              </w:rPr>
              <w:t xml:space="preserve">Strategic </w:t>
            </w:r>
            <w:proofErr w:type="spellStart"/>
            <w:r w:rsidRPr="002F0BDC">
              <w:rPr>
                <w:b/>
                <w:bCs/>
              </w:rPr>
              <w:t>Implication</w:t>
            </w:r>
            <w:proofErr w:type="spellEnd"/>
          </w:p>
        </w:tc>
      </w:tr>
      <w:tr w:rsidR="002F0BDC" w:rsidRPr="002F0BDC" w14:paraId="47C44A3E" w14:textId="77777777">
        <w:trPr>
          <w:tblCellSpacing w:w="15" w:type="dxa"/>
        </w:trPr>
        <w:tc>
          <w:tcPr>
            <w:tcW w:w="0" w:type="auto"/>
            <w:shd w:val="clear" w:color="auto" w:fill="F8FAFD"/>
            <w:tcMar>
              <w:top w:w="120" w:type="dxa"/>
              <w:left w:w="180" w:type="dxa"/>
              <w:bottom w:w="120" w:type="dxa"/>
              <w:right w:w="180" w:type="dxa"/>
            </w:tcMar>
            <w:hideMark/>
          </w:tcPr>
          <w:p w14:paraId="1C2C9575" w14:textId="77777777" w:rsidR="002F0BDC" w:rsidRPr="002F0BDC" w:rsidRDefault="002F0BDC" w:rsidP="002F0BDC">
            <w:proofErr w:type="spellStart"/>
            <w:r w:rsidRPr="002F0BDC">
              <w:rPr>
                <w:b/>
                <w:bCs/>
              </w:rPr>
              <w:t>Debt</w:t>
            </w:r>
            <w:proofErr w:type="spellEnd"/>
            <w:r w:rsidRPr="002F0BDC">
              <w:rPr>
                <w:b/>
                <w:bCs/>
              </w:rPr>
              <w:t xml:space="preserve"> </w:t>
            </w:r>
            <w:proofErr w:type="spellStart"/>
            <w:r w:rsidRPr="002F0BDC">
              <w:rPr>
                <w:b/>
                <w:bCs/>
              </w:rPr>
              <w:t>to</w:t>
            </w:r>
            <w:proofErr w:type="spellEnd"/>
            <w:r w:rsidRPr="002F0BDC">
              <w:rPr>
                <w:b/>
                <w:bCs/>
              </w:rPr>
              <w:t xml:space="preserve"> Equity</w:t>
            </w:r>
          </w:p>
        </w:tc>
        <w:tc>
          <w:tcPr>
            <w:tcW w:w="0" w:type="auto"/>
            <w:shd w:val="clear" w:color="auto" w:fill="F8FAFD"/>
            <w:tcMar>
              <w:top w:w="120" w:type="dxa"/>
              <w:left w:w="180" w:type="dxa"/>
              <w:bottom w:w="120" w:type="dxa"/>
              <w:right w:w="180" w:type="dxa"/>
            </w:tcMar>
            <w:hideMark/>
          </w:tcPr>
          <w:p w14:paraId="756E7780" w14:textId="77777777" w:rsidR="002F0BDC" w:rsidRPr="002F0BDC" w:rsidRDefault="002F0BDC" w:rsidP="002F0BDC">
            <w:r w:rsidRPr="002F0BDC">
              <w:t>&gt; 1.5</w:t>
            </w:r>
          </w:p>
        </w:tc>
        <w:tc>
          <w:tcPr>
            <w:tcW w:w="0" w:type="auto"/>
            <w:shd w:val="clear" w:color="auto" w:fill="F8FAFD"/>
            <w:tcMar>
              <w:top w:w="120" w:type="dxa"/>
              <w:left w:w="180" w:type="dxa"/>
              <w:bottom w:w="120" w:type="dxa"/>
              <w:right w:w="180" w:type="dxa"/>
            </w:tcMar>
            <w:hideMark/>
          </w:tcPr>
          <w:p w14:paraId="29EB6D13" w14:textId="77777777" w:rsidR="002F0BDC" w:rsidRPr="002F0BDC" w:rsidRDefault="002F0BDC" w:rsidP="002F0BDC">
            <w:pPr>
              <w:rPr>
                <w:lang w:val="en-US"/>
              </w:rPr>
            </w:pPr>
            <w:r w:rsidRPr="002F0BDC">
              <w:rPr>
                <w:lang w:val="en-US"/>
              </w:rPr>
              <w:t>Excessive reliance on leverage; high vulnerability to interest rate hikes.</w:t>
            </w:r>
          </w:p>
        </w:tc>
      </w:tr>
      <w:tr w:rsidR="002F0BDC" w:rsidRPr="002F0BDC" w14:paraId="543EC36F" w14:textId="77777777">
        <w:trPr>
          <w:tblCellSpacing w:w="15" w:type="dxa"/>
        </w:trPr>
        <w:tc>
          <w:tcPr>
            <w:tcW w:w="0" w:type="auto"/>
            <w:shd w:val="clear" w:color="auto" w:fill="F8FAFD"/>
            <w:tcMar>
              <w:top w:w="120" w:type="dxa"/>
              <w:left w:w="180" w:type="dxa"/>
              <w:bottom w:w="120" w:type="dxa"/>
              <w:right w:w="180" w:type="dxa"/>
            </w:tcMar>
            <w:hideMark/>
          </w:tcPr>
          <w:p w14:paraId="50610C48" w14:textId="77777777" w:rsidR="002F0BDC" w:rsidRPr="002F0BDC" w:rsidRDefault="002F0BDC" w:rsidP="002F0BDC">
            <w:r w:rsidRPr="002F0BDC">
              <w:rPr>
                <w:b/>
                <w:bCs/>
              </w:rPr>
              <w:t>Interest Coverage</w:t>
            </w:r>
          </w:p>
        </w:tc>
        <w:tc>
          <w:tcPr>
            <w:tcW w:w="0" w:type="auto"/>
            <w:shd w:val="clear" w:color="auto" w:fill="F8FAFD"/>
            <w:tcMar>
              <w:top w:w="120" w:type="dxa"/>
              <w:left w:w="180" w:type="dxa"/>
              <w:bottom w:w="120" w:type="dxa"/>
              <w:right w:w="180" w:type="dxa"/>
            </w:tcMar>
            <w:hideMark/>
          </w:tcPr>
          <w:p w14:paraId="3621053E" w14:textId="77777777" w:rsidR="002F0BDC" w:rsidRPr="002F0BDC" w:rsidRDefault="002F0BDC" w:rsidP="002F0BDC">
            <w:r w:rsidRPr="002F0BDC">
              <w:t>&lt; 2.0</w:t>
            </w:r>
          </w:p>
        </w:tc>
        <w:tc>
          <w:tcPr>
            <w:tcW w:w="0" w:type="auto"/>
            <w:shd w:val="clear" w:color="auto" w:fill="F8FAFD"/>
            <w:tcMar>
              <w:top w:w="120" w:type="dxa"/>
              <w:left w:w="180" w:type="dxa"/>
              <w:bottom w:w="120" w:type="dxa"/>
              <w:right w:w="180" w:type="dxa"/>
            </w:tcMar>
            <w:hideMark/>
          </w:tcPr>
          <w:p w14:paraId="2BD2E242" w14:textId="77777777" w:rsidR="002F0BDC" w:rsidRPr="002F0BDC" w:rsidRDefault="002F0BDC" w:rsidP="002F0BDC">
            <w:pPr>
              <w:rPr>
                <w:lang w:val="en-US"/>
              </w:rPr>
            </w:pPr>
            <w:r w:rsidRPr="002F0BDC">
              <w:rPr>
                <w:lang w:val="en-US"/>
              </w:rPr>
              <w:t>High risk of default on short-term obligations.</w:t>
            </w:r>
          </w:p>
        </w:tc>
      </w:tr>
      <w:tr w:rsidR="002F0BDC" w:rsidRPr="002F0BDC" w14:paraId="2032C2F6" w14:textId="77777777">
        <w:trPr>
          <w:tblCellSpacing w:w="15" w:type="dxa"/>
        </w:trPr>
        <w:tc>
          <w:tcPr>
            <w:tcW w:w="0" w:type="auto"/>
            <w:shd w:val="clear" w:color="auto" w:fill="F8FAFD"/>
            <w:tcMar>
              <w:top w:w="120" w:type="dxa"/>
              <w:left w:w="180" w:type="dxa"/>
              <w:bottom w:w="120" w:type="dxa"/>
              <w:right w:w="180" w:type="dxa"/>
            </w:tcMar>
            <w:hideMark/>
          </w:tcPr>
          <w:p w14:paraId="06DC61C7" w14:textId="77777777" w:rsidR="002F0BDC" w:rsidRPr="002F0BDC" w:rsidRDefault="002F0BDC" w:rsidP="002F0BDC">
            <w:r w:rsidRPr="002F0BDC">
              <w:rPr>
                <w:b/>
                <w:bCs/>
              </w:rPr>
              <w:t>Cash Cycle Trend</w:t>
            </w:r>
          </w:p>
        </w:tc>
        <w:tc>
          <w:tcPr>
            <w:tcW w:w="0" w:type="auto"/>
            <w:shd w:val="clear" w:color="auto" w:fill="F8FAFD"/>
            <w:tcMar>
              <w:top w:w="120" w:type="dxa"/>
              <w:left w:w="180" w:type="dxa"/>
              <w:bottom w:w="120" w:type="dxa"/>
              <w:right w:w="180" w:type="dxa"/>
            </w:tcMar>
            <w:hideMark/>
          </w:tcPr>
          <w:p w14:paraId="4F9FCAB6" w14:textId="77777777" w:rsidR="002F0BDC" w:rsidRPr="002F0BDC" w:rsidRDefault="002F0BDC" w:rsidP="002F0BDC">
            <w:r w:rsidRPr="002F0BDC">
              <w:t xml:space="preserve">Rising </w:t>
            </w:r>
            <w:proofErr w:type="spellStart"/>
            <w:r w:rsidRPr="002F0BDC">
              <w:t>for</w:t>
            </w:r>
            <w:proofErr w:type="spellEnd"/>
            <w:r w:rsidRPr="002F0BDC">
              <w:t xml:space="preserve"> 3+ </w:t>
            </w:r>
            <w:proofErr w:type="spellStart"/>
            <w:r w:rsidRPr="002F0BDC">
              <w:t>years</w:t>
            </w:r>
            <w:proofErr w:type="spellEnd"/>
          </w:p>
        </w:tc>
        <w:tc>
          <w:tcPr>
            <w:tcW w:w="0" w:type="auto"/>
            <w:shd w:val="clear" w:color="auto" w:fill="F8FAFD"/>
            <w:tcMar>
              <w:top w:w="120" w:type="dxa"/>
              <w:left w:w="180" w:type="dxa"/>
              <w:bottom w:w="120" w:type="dxa"/>
              <w:right w:w="180" w:type="dxa"/>
            </w:tcMar>
            <w:hideMark/>
          </w:tcPr>
          <w:p w14:paraId="40308388" w14:textId="77777777" w:rsidR="002F0BDC" w:rsidRPr="002F0BDC" w:rsidRDefault="002F0BDC" w:rsidP="002F0BDC">
            <w:pPr>
              <w:rPr>
                <w:lang w:val="en-US"/>
              </w:rPr>
            </w:pPr>
            <w:r w:rsidRPr="002F0BDC">
              <w:rPr>
                <w:lang w:val="en-US"/>
              </w:rPr>
              <w:t>Systematic erosion of operational efficiency.</w:t>
            </w:r>
          </w:p>
        </w:tc>
      </w:tr>
      <w:tr w:rsidR="002F0BDC" w:rsidRPr="002F0BDC" w14:paraId="639DADDB" w14:textId="77777777">
        <w:trPr>
          <w:tblCellSpacing w:w="15" w:type="dxa"/>
        </w:trPr>
        <w:tc>
          <w:tcPr>
            <w:tcW w:w="0" w:type="auto"/>
            <w:shd w:val="clear" w:color="auto" w:fill="F8FAFD"/>
            <w:tcMar>
              <w:top w:w="120" w:type="dxa"/>
              <w:left w:w="180" w:type="dxa"/>
              <w:bottom w:w="120" w:type="dxa"/>
              <w:right w:w="180" w:type="dxa"/>
            </w:tcMar>
            <w:hideMark/>
          </w:tcPr>
          <w:p w14:paraId="566E26F1" w14:textId="77777777" w:rsidR="002F0BDC" w:rsidRPr="002F0BDC" w:rsidRDefault="002F0BDC" w:rsidP="002F0BDC">
            <w:proofErr w:type="spellStart"/>
            <w:r w:rsidRPr="002F0BDC">
              <w:rPr>
                <w:b/>
                <w:bCs/>
              </w:rPr>
              <w:t>Receivables</w:t>
            </w:r>
            <w:proofErr w:type="spellEnd"/>
            <w:r w:rsidRPr="002F0BDC">
              <w:rPr>
                <w:b/>
                <w:bCs/>
              </w:rPr>
              <w:t>/Sales</w:t>
            </w:r>
          </w:p>
        </w:tc>
        <w:tc>
          <w:tcPr>
            <w:tcW w:w="0" w:type="auto"/>
            <w:shd w:val="clear" w:color="auto" w:fill="F8FAFD"/>
            <w:tcMar>
              <w:top w:w="120" w:type="dxa"/>
              <w:left w:w="180" w:type="dxa"/>
              <w:bottom w:w="120" w:type="dxa"/>
              <w:right w:w="180" w:type="dxa"/>
            </w:tcMar>
            <w:hideMark/>
          </w:tcPr>
          <w:p w14:paraId="5AD8C1A4" w14:textId="77777777" w:rsidR="002F0BDC" w:rsidRPr="002F0BDC" w:rsidRDefault="002F0BDC" w:rsidP="002F0BDC">
            <w:r w:rsidRPr="002F0BDC">
              <w:t>&gt; 25%</w:t>
            </w:r>
          </w:p>
        </w:tc>
        <w:tc>
          <w:tcPr>
            <w:tcW w:w="0" w:type="auto"/>
            <w:shd w:val="clear" w:color="auto" w:fill="F8FAFD"/>
            <w:tcMar>
              <w:top w:w="120" w:type="dxa"/>
              <w:left w:w="180" w:type="dxa"/>
              <w:bottom w:w="120" w:type="dxa"/>
              <w:right w:w="180" w:type="dxa"/>
            </w:tcMar>
            <w:hideMark/>
          </w:tcPr>
          <w:p w14:paraId="4889A577" w14:textId="77777777" w:rsidR="002F0BDC" w:rsidRPr="002F0BDC" w:rsidRDefault="002F0BDC" w:rsidP="002F0BDC">
            <w:pPr>
              <w:rPr>
                <w:lang w:val="en-US"/>
              </w:rPr>
            </w:pPr>
            <w:r w:rsidRPr="002F0BDC">
              <w:rPr>
                <w:lang w:val="en-US"/>
              </w:rPr>
              <w:t>Potential over-extension of credit to move volume.</w:t>
            </w:r>
          </w:p>
        </w:tc>
      </w:tr>
      <w:tr w:rsidR="002F0BDC" w:rsidRPr="002F0BDC" w14:paraId="5E460749" w14:textId="77777777">
        <w:trPr>
          <w:tblCellSpacing w:w="15" w:type="dxa"/>
        </w:trPr>
        <w:tc>
          <w:tcPr>
            <w:tcW w:w="0" w:type="auto"/>
            <w:shd w:val="clear" w:color="auto" w:fill="F8FAFD"/>
            <w:tcMar>
              <w:top w:w="120" w:type="dxa"/>
              <w:left w:w="180" w:type="dxa"/>
              <w:bottom w:w="120" w:type="dxa"/>
              <w:right w:w="180" w:type="dxa"/>
            </w:tcMar>
            <w:hideMark/>
          </w:tcPr>
          <w:p w14:paraId="33238C6B" w14:textId="77777777" w:rsidR="002F0BDC" w:rsidRPr="002F0BDC" w:rsidRDefault="002F0BDC" w:rsidP="002F0BDC">
            <w:r w:rsidRPr="002F0BDC">
              <w:rPr>
                <w:b/>
                <w:bCs/>
              </w:rPr>
              <w:t>Working Capital / Revenue</w:t>
            </w:r>
          </w:p>
        </w:tc>
        <w:tc>
          <w:tcPr>
            <w:tcW w:w="0" w:type="auto"/>
            <w:shd w:val="clear" w:color="auto" w:fill="F8FAFD"/>
            <w:tcMar>
              <w:top w:w="120" w:type="dxa"/>
              <w:left w:w="180" w:type="dxa"/>
              <w:bottom w:w="120" w:type="dxa"/>
              <w:right w:w="180" w:type="dxa"/>
            </w:tcMar>
            <w:hideMark/>
          </w:tcPr>
          <w:p w14:paraId="75CEA0E3" w14:textId="77777777" w:rsidR="002F0BDC" w:rsidRPr="002F0BDC" w:rsidRDefault="002F0BDC" w:rsidP="002F0BDC">
            <w:r w:rsidRPr="002F0BDC">
              <w:t>&gt; 30%</w:t>
            </w:r>
          </w:p>
        </w:tc>
        <w:tc>
          <w:tcPr>
            <w:tcW w:w="0" w:type="auto"/>
            <w:shd w:val="clear" w:color="auto" w:fill="F8FAFD"/>
            <w:tcMar>
              <w:top w:w="120" w:type="dxa"/>
              <w:left w:w="180" w:type="dxa"/>
              <w:bottom w:w="120" w:type="dxa"/>
              <w:right w:w="180" w:type="dxa"/>
            </w:tcMar>
            <w:hideMark/>
          </w:tcPr>
          <w:p w14:paraId="12FF1144" w14:textId="77777777" w:rsidR="002F0BDC" w:rsidRPr="002F0BDC" w:rsidRDefault="002F0BDC" w:rsidP="002F0BDC">
            <w:pPr>
              <w:rPr>
                <w:lang w:val="en-US"/>
              </w:rPr>
            </w:pPr>
            <w:r w:rsidRPr="002F0BDC">
              <w:rPr>
                <w:lang w:val="en-US"/>
              </w:rPr>
              <w:t>Capital-intensive model that requires constant external funding.</w:t>
            </w:r>
          </w:p>
        </w:tc>
      </w:tr>
    </w:tbl>
    <w:p w14:paraId="3F927474" w14:textId="77777777" w:rsidR="002F0BDC" w:rsidRPr="002F0BDC" w:rsidRDefault="002F0BDC" w:rsidP="002F0BDC">
      <w:pPr>
        <w:rPr>
          <w:lang w:val="en-US"/>
        </w:rPr>
      </w:pPr>
      <w:r w:rsidRPr="002F0BDC">
        <w:rPr>
          <w:lang w:val="en-US"/>
        </w:rPr>
        <w:t>  </w:t>
      </w:r>
    </w:p>
    <w:p w14:paraId="708A666C" w14:textId="77777777" w:rsidR="002F0BDC" w:rsidRPr="002F0BDC" w:rsidRDefault="002F0BDC" w:rsidP="002F0BDC">
      <w:pPr>
        <w:rPr>
          <w:b/>
          <w:bCs/>
          <w:lang w:val="en-US"/>
        </w:rPr>
      </w:pPr>
      <w:r w:rsidRPr="002F0BDC">
        <w:rPr>
          <w:b/>
          <w:bCs/>
          <w:lang w:val="en-US"/>
        </w:rPr>
        <w:t>Sectoral Benchmarking and Industrial Realities in 2024-2025</w:t>
      </w:r>
    </w:p>
    <w:p w14:paraId="088826BD" w14:textId="77777777" w:rsidR="002F0BDC" w:rsidRPr="002F0BDC" w:rsidRDefault="002F0BDC" w:rsidP="002F0BDC">
      <w:pPr>
        <w:rPr>
          <w:lang w:val="en-US"/>
        </w:rPr>
      </w:pPr>
      <w:r w:rsidRPr="002F0BDC">
        <w:rPr>
          <w:lang w:val="en-US"/>
        </w:rPr>
        <w:t>The definition of "efficiency" varies across the Indian industrial landscape. A 100-day cycle might be catastrophic for a retail firm but acceptable for a heavy engineering company producing custom turbines.   </w:t>
      </w:r>
    </w:p>
    <w:p w14:paraId="6A42CA8B" w14:textId="77777777" w:rsidR="002F0BDC" w:rsidRPr="002F0BDC" w:rsidRDefault="002F0BDC" w:rsidP="002F0BDC">
      <w:pPr>
        <w:rPr>
          <w:b/>
          <w:bCs/>
        </w:rPr>
      </w:pPr>
      <w:r w:rsidRPr="002F0BDC">
        <w:rPr>
          <w:b/>
          <w:bCs/>
        </w:rPr>
        <w:t>Sector-Wise Performance Standards</w:t>
      </w:r>
    </w:p>
    <w:tbl>
      <w:tblPr>
        <w:tblW w:w="900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11"/>
        <w:gridCol w:w="1655"/>
        <w:gridCol w:w="1734"/>
        <w:gridCol w:w="1734"/>
        <w:gridCol w:w="1766"/>
      </w:tblGrid>
      <w:tr w:rsidR="002F0BDC" w:rsidRPr="002F0BDC" w14:paraId="6887FBC3" w14:textId="77777777">
        <w:trPr>
          <w:tblHeader/>
          <w:tblCellSpacing w:w="15" w:type="dxa"/>
        </w:trPr>
        <w:tc>
          <w:tcPr>
            <w:tcW w:w="0" w:type="auto"/>
            <w:shd w:val="clear" w:color="auto" w:fill="F8FAFD"/>
            <w:tcMar>
              <w:top w:w="120" w:type="dxa"/>
              <w:left w:w="180" w:type="dxa"/>
              <w:bottom w:w="120" w:type="dxa"/>
              <w:right w:w="180" w:type="dxa"/>
            </w:tcMar>
            <w:hideMark/>
          </w:tcPr>
          <w:p w14:paraId="1F6124F1" w14:textId="77777777" w:rsidR="002F0BDC" w:rsidRPr="002F0BDC" w:rsidRDefault="002F0BDC" w:rsidP="002F0BDC">
            <w:r w:rsidRPr="002F0BDC">
              <w:rPr>
                <w:b/>
                <w:bCs/>
              </w:rPr>
              <w:t>Industry</w:t>
            </w:r>
          </w:p>
        </w:tc>
        <w:tc>
          <w:tcPr>
            <w:tcW w:w="0" w:type="auto"/>
            <w:shd w:val="clear" w:color="auto" w:fill="F8FAFD"/>
            <w:tcMar>
              <w:top w:w="120" w:type="dxa"/>
              <w:left w:w="180" w:type="dxa"/>
              <w:bottom w:w="120" w:type="dxa"/>
              <w:right w:w="180" w:type="dxa"/>
            </w:tcMar>
            <w:hideMark/>
          </w:tcPr>
          <w:p w14:paraId="6CD30159" w14:textId="77777777" w:rsidR="002F0BDC" w:rsidRPr="002F0BDC" w:rsidRDefault="002F0BDC" w:rsidP="002F0BDC">
            <w:r w:rsidRPr="002F0BDC">
              <w:rPr>
                <w:b/>
                <w:bCs/>
              </w:rPr>
              <w:t>DIO (Days)</w:t>
            </w:r>
          </w:p>
        </w:tc>
        <w:tc>
          <w:tcPr>
            <w:tcW w:w="0" w:type="auto"/>
            <w:shd w:val="clear" w:color="auto" w:fill="F8FAFD"/>
            <w:tcMar>
              <w:top w:w="120" w:type="dxa"/>
              <w:left w:w="180" w:type="dxa"/>
              <w:bottom w:w="120" w:type="dxa"/>
              <w:right w:w="180" w:type="dxa"/>
            </w:tcMar>
            <w:hideMark/>
          </w:tcPr>
          <w:p w14:paraId="75E79E54" w14:textId="77777777" w:rsidR="002F0BDC" w:rsidRPr="002F0BDC" w:rsidRDefault="002F0BDC" w:rsidP="002F0BDC">
            <w:r w:rsidRPr="002F0BDC">
              <w:rPr>
                <w:b/>
                <w:bCs/>
              </w:rPr>
              <w:t>DSO (Days)</w:t>
            </w:r>
          </w:p>
        </w:tc>
        <w:tc>
          <w:tcPr>
            <w:tcW w:w="0" w:type="auto"/>
            <w:shd w:val="clear" w:color="auto" w:fill="F8FAFD"/>
            <w:tcMar>
              <w:top w:w="120" w:type="dxa"/>
              <w:left w:w="180" w:type="dxa"/>
              <w:bottom w:w="120" w:type="dxa"/>
              <w:right w:w="180" w:type="dxa"/>
            </w:tcMar>
            <w:hideMark/>
          </w:tcPr>
          <w:p w14:paraId="51B1E50A" w14:textId="77777777" w:rsidR="002F0BDC" w:rsidRPr="002F0BDC" w:rsidRDefault="002F0BDC" w:rsidP="002F0BDC">
            <w:r w:rsidRPr="002F0BDC">
              <w:rPr>
                <w:b/>
                <w:bCs/>
              </w:rPr>
              <w:t>DPO (Days)</w:t>
            </w:r>
          </w:p>
        </w:tc>
        <w:tc>
          <w:tcPr>
            <w:tcW w:w="0" w:type="auto"/>
            <w:shd w:val="clear" w:color="auto" w:fill="F8FAFD"/>
            <w:tcMar>
              <w:top w:w="120" w:type="dxa"/>
              <w:left w:w="180" w:type="dxa"/>
              <w:bottom w:w="120" w:type="dxa"/>
              <w:right w:w="180" w:type="dxa"/>
            </w:tcMar>
            <w:hideMark/>
          </w:tcPr>
          <w:p w14:paraId="30AC9975" w14:textId="77777777" w:rsidR="002F0BDC" w:rsidRPr="002F0BDC" w:rsidRDefault="002F0BDC" w:rsidP="002F0BDC">
            <w:r w:rsidRPr="002F0BDC">
              <w:rPr>
                <w:b/>
                <w:bCs/>
              </w:rPr>
              <w:t>CCC (Days)</w:t>
            </w:r>
          </w:p>
        </w:tc>
      </w:tr>
      <w:tr w:rsidR="002F0BDC" w:rsidRPr="002F0BDC" w14:paraId="46D862D8" w14:textId="77777777">
        <w:trPr>
          <w:tblCellSpacing w:w="15" w:type="dxa"/>
        </w:trPr>
        <w:tc>
          <w:tcPr>
            <w:tcW w:w="0" w:type="auto"/>
            <w:shd w:val="clear" w:color="auto" w:fill="F8FAFD"/>
            <w:tcMar>
              <w:top w:w="120" w:type="dxa"/>
              <w:left w:w="180" w:type="dxa"/>
              <w:bottom w:w="120" w:type="dxa"/>
              <w:right w:w="180" w:type="dxa"/>
            </w:tcMar>
            <w:hideMark/>
          </w:tcPr>
          <w:p w14:paraId="43D25503" w14:textId="77777777" w:rsidR="002F0BDC" w:rsidRPr="002F0BDC" w:rsidRDefault="002F0BDC" w:rsidP="002F0BDC">
            <w:r w:rsidRPr="002F0BDC">
              <w:rPr>
                <w:b/>
                <w:bCs/>
              </w:rPr>
              <w:t>FMCG</w:t>
            </w:r>
          </w:p>
        </w:tc>
        <w:tc>
          <w:tcPr>
            <w:tcW w:w="0" w:type="auto"/>
            <w:shd w:val="clear" w:color="auto" w:fill="F8FAFD"/>
            <w:tcMar>
              <w:top w:w="120" w:type="dxa"/>
              <w:left w:w="180" w:type="dxa"/>
              <w:bottom w:w="120" w:type="dxa"/>
              <w:right w:w="180" w:type="dxa"/>
            </w:tcMar>
            <w:hideMark/>
          </w:tcPr>
          <w:p w14:paraId="77142083" w14:textId="77777777" w:rsidR="002F0BDC" w:rsidRPr="002F0BDC" w:rsidRDefault="002F0BDC" w:rsidP="002F0BDC">
            <w:r w:rsidRPr="002F0BDC">
              <w:t>30–50</w:t>
            </w:r>
          </w:p>
        </w:tc>
        <w:tc>
          <w:tcPr>
            <w:tcW w:w="0" w:type="auto"/>
            <w:shd w:val="clear" w:color="auto" w:fill="F8FAFD"/>
            <w:tcMar>
              <w:top w:w="120" w:type="dxa"/>
              <w:left w:w="180" w:type="dxa"/>
              <w:bottom w:w="120" w:type="dxa"/>
              <w:right w:w="180" w:type="dxa"/>
            </w:tcMar>
            <w:hideMark/>
          </w:tcPr>
          <w:p w14:paraId="5A304C48" w14:textId="77777777" w:rsidR="002F0BDC" w:rsidRPr="002F0BDC" w:rsidRDefault="002F0BDC" w:rsidP="002F0BDC">
            <w:r w:rsidRPr="002F0BDC">
              <w:t>5–15</w:t>
            </w:r>
          </w:p>
        </w:tc>
        <w:tc>
          <w:tcPr>
            <w:tcW w:w="0" w:type="auto"/>
            <w:shd w:val="clear" w:color="auto" w:fill="F8FAFD"/>
            <w:tcMar>
              <w:top w:w="120" w:type="dxa"/>
              <w:left w:w="180" w:type="dxa"/>
              <w:bottom w:w="120" w:type="dxa"/>
              <w:right w:w="180" w:type="dxa"/>
            </w:tcMar>
            <w:hideMark/>
          </w:tcPr>
          <w:p w14:paraId="09EB4864" w14:textId="77777777" w:rsidR="002F0BDC" w:rsidRPr="002F0BDC" w:rsidRDefault="002F0BDC" w:rsidP="002F0BDC">
            <w:r w:rsidRPr="002F0BDC">
              <w:t>60–90</w:t>
            </w:r>
          </w:p>
        </w:tc>
        <w:tc>
          <w:tcPr>
            <w:tcW w:w="0" w:type="auto"/>
            <w:shd w:val="clear" w:color="auto" w:fill="F8FAFD"/>
            <w:tcMar>
              <w:top w:w="120" w:type="dxa"/>
              <w:left w:w="180" w:type="dxa"/>
              <w:bottom w:w="120" w:type="dxa"/>
              <w:right w:w="180" w:type="dxa"/>
            </w:tcMar>
            <w:hideMark/>
          </w:tcPr>
          <w:p w14:paraId="2244DCD4" w14:textId="77777777" w:rsidR="002F0BDC" w:rsidRPr="002F0BDC" w:rsidRDefault="002F0BDC" w:rsidP="002F0BDC">
            <w:r w:rsidRPr="002F0BDC">
              <w:t xml:space="preserve">-10 </w:t>
            </w:r>
            <w:proofErr w:type="spellStart"/>
            <w:r w:rsidRPr="002F0BDC">
              <w:t>to</w:t>
            </w:r>
            <w:proofErr w:type="spellEnd"/>
            <w:r w:rsidRPr="002F0BDC">
              <w:t xml:space="preserve"> -70 </w:t>
            </w:r>
          </w:p>
        </w:tc>
      </w:tr>
      <w:tr w:rsidR="002F0BDC" w:rsidRPr="002F0BDC" w14:paraId="7595055A" w14:textId="77777777">
        <w:trPr>
          <w:tblCellSpacing w:w="15" w:type="dxa"/>
        </w:trPr>
        <w:tc>
          <w:tcPr>
            <w:tcW w:w="0" w:type="auto"/>
            <w:shd w:val="clear" w:color="auto" w:fill="F8FAFD"/>
            <w:tcMar>
              <w:top w:w="120" w:type="dxa"/>
              <w:left w:w="180" w:type="dxa"/>
              <w:bottom w:w="120" w:type="dxa"/>
              <w:right w:w="180" w:type="dxa"/>
            </w:tcMar>
            <w:hideMark/>
          </w:tcPr>
          <w:p w14:paraId="7654CA4A" w14:textId="77777777" w:rsidR="002F0BDC" w:rsidRPr="002F0BDC" w:rsidRDefault="002F0BDC" w:rsidP="002F0BDC">
            <w:r w:rsidRPr="002F0BDC">
              <w:rPr>
                <w:b/>
                <w:bCs/>
              </w:rPr>
              <w:lastRenderedPageBreak/>
              <w:t>Automobiles</w:t>
            </w:r>
          </w:p>
        </w:tc>
        <w:tc>
          <w:tcPr>
            <w:tcW w:w="0" w:type="auto"/>
            <w:shd w:val="clear" w:color="auto" w:fill="F8FAFD"/>
            <w:tcMar>
              <w:top w:w="120" w:type="dxa"/>
              <w:left w:w="180" w:type="dxa"/>
              <w:bottom w:w="120" w:type="dxa"/>
              <w:right w:w="180" w:type="dxa"/>
            </w:tcMar>
            <w:hideMark/>
          </w:tcPr>
          <w:p w14:paraId="2DE16036" w14:textId="77777777" w:rsidR="002F0BDC" w:rsidRPr="002F0BDC" w:rsidRDefault="002F0BDC" w:rsidP="002F0BDC">
            <w:r w:rsidRPr="002F0BDC">
              <w:t>20–40</w:t>
            </w:r>
          </w:p>
        </w:tc>
        <w:tc>
          <w:tcPr>
            <w:tcW w:w="0" w:type="auto"/>
            <w:shd w:val="clear" w:color="auto" w:fill="F8FAFD"/>
            <w:tcMar>
              <w:top w:w="120" w:type="dxa"/>
              <w:left w:w="180" w:type="dxa"/>
              <w:bottom w:w="120" w:type="dxa"/>
              <w:right w:w="180" w:type="dxa"/>
            </w:tcMar>
            <w:hideMark/>
          </w:tcPr>
          <w:p w14:paraId="3A34BDAD" w14:textId="77777777" w:rsidR="002F0BDC" w:rsidRPr="002F0BDC" w:rsidRDefault="002F0BDC" w:rsidP="002F0BDC">
            <w:r w:rsidRPr="002F0BDC">
              <w:t>10–30</w:t>
            </w:r>
          </w:p>
        </w:tc>
        <w:tc>
          <w:tcPr>
            <w:tcW w:w="0" w:type="auto"/>
            <w:shd w:val="clear" w:color="auto" w:fill="F8FAFD"/>
            <w:tcMar>
              <w:top w:w="120" w:type="dxa"/>
              <w:left w:w="180" w:type="dxa"/>
              <w:bottom w:w="120" w:type="dxa"/>
              <w:right w:w="180" w:type="dxa"/>
            </w:tcMar>
            <w:hideMark/>
          </w:tcPr>
          <w:p w14:paraId="145D6952" w14:textId="77777777" w:rsidR="002F0BDC" w:rsidRPr="002F0BDC" w:rsidRDefault="002F0BDC" w:rsidP="002F0BDC">
            <w:r w:rsidRPr="002F0BDC">
              <w:t>45–75</w:t>
            </w:r>
          </w:p>
        </w:tc>
        <w:tc>
          <w:tcPr>
            <w:tcW w:w="0" w:type="auto"/>
            <w:shd w:val="clear" w:color="auto" w:fill="F8FAFD"/>
            <w:tcMar>
              <w:top w:w="120" w:type="dxa"/>
              <w:left w:w="180" w:type="dxa"/>
              <w:bottom w:w="120" w:type="dxa"/>
              <w:right w:w="180" w:type="dxa"/>
            </w:tcMar>
            <w:hideMark/>
          </w:tcPr>
          <w:p w14:paraId="5E9E2F9A" w14:textId="77777777" w:rsidR="002F0BDC" w:rsidRPr="002F0BDC" w:rsidRDefault="002F0BDC" w:rsidP="002F0BDC">
            <w:r w:rsidRPr="002F0BDC">
              <w:t xml:space="preserve">0 </w:t>
            </w:r>
            <w:proofErr w:type="spellStart"/>
            <w:r w:rsidRPr="002F0BDC">
              <w:t>to</w:t>
            </w:r>
            <w:proofErr w:type="spellEnd"/>
            <w:r w:rsidRPr="002F0BDC">
              <w:t xml:space="preserve"> 30 </w:t>
            </w:r>
          </w:p>
        </w:tc>
      </w:tr>
      <w:tr w:rsidR="002F0BDC" w:rsidRPr="002F0BDC" w14:paraId="1895C6C3" w14:textId="77777777">
        <w:trPr>
          <w:tblCellSpacing w:w="15" w:type="dxa"/>
        </w:trPr>
        <w:tc>
          <w:tcPr>
            <w:tcW w:w="0" w:type="auto"/>
            <w:shd w:val="clear" w:color="auto" w:fill="F8FAFD"/>
            <w:tcMar>
              <w:top w:w="120" w:type="dxa"/>
              <w:left w:w="180" w:type="dxa"/>
              <w:bottom w:w="120" w:type="dxa"/>
              <w:right w:w="180" w:type="dxa"/>
            </w:tcMar>
            <w:hideMark/>
          </w:tcPr>
          <w:p w14:paraId="70FB48CD" w14:textId="77777777" w:rsidR="002F0BDC" w:rsidRPr="002F0BDC" w:rsidRDefault="002F0BDC" w:rsidP="002F0BDC">
            <w:proofErr w:type="spellStart"/>
            <w:r w:rsidRPr="002F0BDC">
              <w:rPr>
                <w:b/>
                <w:bCs/>
              </w:rPr>
              <w:t>Pharma</w:t>
            </w:r>
            <w:proofErr w:type="spellEnd"/>
          </w:p>
        </w:tc>
        <w:tc>
          <w:tcPr>
            <w:tcW w:w="0" w:type="auto"/>
            <w:shd w:val="clear" w:color="auto" w:fill="F8FAFD"/>
            <w:tcMar>
              <w:top w:w="120" w:type="dxa"/>
              <w:left w:w="180" w:type="dxa"/>
              <w:bottom w:w="120" w:type="dxa"/>
              <w:right w:w="180" w:type="dxa"/>
            </w:tcMar>
            <w:hideMark/>
          </w:tcPr>
          <w:p w14:paraId="7324CB18" w14:textId="77777777" w:rsidR="002F0BDC" w:rsidRPr="002F0BDC" w:rsidRDefault="002F0BDC" w:rsidP="002F0BDC">
            <w:r w:rsidRPr="002F0BDC">
              <w:t>80–120</w:t>
            </w:r>
          </w:p>
        </w:tc>
        <w:tc>
          <w:tcPr>
            <w:tcW w:w="0" w:type="auto"/>
            <w:shd w:val="clear" w:color="auto" w:fill="F8FAFD"/>
            <w:tcMar>
              <w:top w:w="120" w:type="dxa"/>
              <w:left w:w="180" w:type="dxa"/>
              <w:bottom w:w="120" w:type="dxa"/>
              <w:right w:w="180" w:type="dxa"/>
            </w:tcMar>
            <w:hideMark/>
          </w:tcPr>
          <w:p w14:paraId="659043D7" w14:textId="77777777" w:rsidR="002F0BDC" w:rsidRPr="002F0BDC" w:rsidRDefault="002F0BDC" w:rsidP="002F0BDC">
            <w:r w:rsidRPr="002F0BDC">
              <w:t>60–90</w:t>
            </w:r>
          </w:p>
        </w:tc>
        <w:tc>
          <w:tcPr>
            <w:tcW w:w="0" w:type="auto"/>
            <w:shd w:val="clear" w:color="auto" w:fill="F8FAFD"/>
            <w:tcMar>
              <w:top w:w="120" w:type="dxa"/>
              <w:left w:w="180" w:type="dxa"/>
              <w:bottom w:w="120" w:type="dxa"/>
              <w:right w:w="180" w:type="dxa"/>
            </w:tcMar>
            <w:hideMark/>
          </w:tcPr>
          <w:p w14:paraId="6A876D23" w14:textId="77777777" w:rsidR="002F0BDC" w:rsidRPr="002F0BDC" w:rsidRDefault="002F0BDC" w:rsidP="002F0BDC">
            <w:r w:rsidRPr="002F0BDC">
              <w:t>45–60</w:t>
            </w:r>
          </w:p>
        </w:tc>
        <w:tc>
          <w:tcPr>
            <w:tcW w:w="0" w:type="auto"/>
            <w:shd w:val="clear" w:color="auto" w:fill="F8FAFD"/>
            <w:tcMar>
              <w:top w:w="120" w:type="dxa"/>
              <w:left w:w="180" w:type="dxa"/>
              <w:bottom w:w="120" w:type="dxa"/>
              <w:right w:w="180" w:type="dxa"/>
            </w:tcMar>
            <w:hideMark/>
          </w:tcPr>
          <w:p w14:paraId="6872D657" w14:textId="77777777" w:rsidR="002F0BDC" w:rsidRPr="002F0BDC" w:rsidRDefault="002F0BDC" w:rsidP="002F0BDC">
            <w:r w:rsidRPr="002F0BDC">
              <w:t xml:space="preserve">90 </w:t>
            </w:r>
            <w:proofErr w:type="spellStart"/>
            <w:r w:rsidRPr="002F0BDC">
              <w:t>to</w:t>
            </w:r>
            <w:proofErr w:type="spellEnd"/>
            <w:r w:rsidRPr="002F0BDC">
              <w:t xml:space="preserve"> 150 </w:t>
            </w:r>
          </w:p>
        </w:tc>
      </w:tr>
      <w:tr w:rsidR="002F0BDC" w:rsidRPr="002F0BDC" w14:paraId="4C34394C" w14:textId="77777777">
        <w:trPr>
          <w:tblCellSpacing w:w="15" w:type="dxa"/>
        </w:trPr>
        <w:tc>
          <w:tcPr>
            <w:tcW w:w="0" w:type="auto"/>
            <w:shd w:val="clear" w:color="auto" w:fill="F8FAFD"/>
            <w:tcMar>
              <w:top w:w="120" w:type="dxa"/>
              <w:left w:w="180" w:type="dxa"/>
              <w:bottom w:w="120" w:type="dxa"/>
              <w:right w:w="180" w:type="dxa"/>
            </w:tcMar>
            <w:hideMark/>
          </w:tcPr>
          <w:p w14:paraId="44F6E3AF" w14:textId="77777777" w:rsidR="002F0BDC" w:rsidRPr="002F0BDC" w:rsidRDefault="002F0BDC" w:rsidP="002F0BDC">
            <w:proofErr w:type="spellStart"/>
            <w:r w:rsidRPr="002F0BDC">
              <w:rPr>
                <w:b/>
                <w:bCs/>
              </w:rPr>
              <w:t>Metals</w:t>
            </w:r>
            <w:proofErr w:type="spellEnd"/>
            <w:r w:rsidRPr="002F0BDC">
              <w:rPr>
                <w:b/>
                <w:bCs/>
              </w:rPr>
              <w:t>/Steel</w:t>
            </w:r>
          </w:p>
        </w:tc>
        <w:tc>
          <w:tcPr>
            <w:tcW w:w="0" w:type="auto"/>
            <w:shd w:val="clear" w:color="auto" w:fill="F8FAFD"/>
            <w:tcMar>
              <w:top w:w="120" w:type="dxa"/>
              <w:left w:w="180" w:type="dxa"/>
              <w:bottom w:w="120" w:type="dxa"/>
              <w:right w:w="180" w:type="dxa"/>
            </w:tcMar>
            <w:hideMark/>
          </w:tcPr>
          <w:p w14:paraId="4E8976EE" w14:textId="77777777" w:rsidR="002F0BDC" w:rsidRPr="002F0BDC" w:rsidRDefault="002F0BDC" w:rsidP="002F0BDC">
            <w:r w:rsidRPr="002F0BDC">
              <w:t>90–130</w:t>
            </w:r>
          </w:p>
        </w:tc>
        <w:tc>
          <w:tcPr>
            <w:tcW w:w="0" w:type="auto"/>
            <w:shd w:val="clear" w:color="auto" w:fill="F8FAFD"/>
            <w:tcMar>
              <w:top w:w="120" w:type="dxa"/>
              <w:left w:w="180" w:type="dxa"/>
              <w:bottom w:w="120" w:type="dxa"/>
              <w:right w:w="180" w:type="dxa"/>
            </w:tcMar>
            <w:hideMark/>
          </w:tcPr>
          <w:p w14:paraId="0AA477CF" w14:textId="77777777" w:rsidR="002F0BDC" w:rsidRPr="002F0BDC" w:rsidRDefault="002F0BDC" w:rsidP="002F0BDC">
            <w:r w:rsidRPr="002F0BDC">
              <w:t>30–50</w:t>
            </w:r>
          </w:p>
        </w:tc>
        <w:tc>
          <w:tcPr>
            <w:tcW w:w="0" w:type="auto"/>
            <w:shd w:val="clear" w:color="auto" w:fill="F8FAFD"/>
            <w:tcMar>
              <w:top w:w="120" w:type="dxa"/>
              <w:left w:w="180" w:type="dxa"/>
              <w:bottom w:w="120" w:type="dxa"/>
              <w:right w:w="180" w:type="dxa"/>
            </w:tcMar>
            <w:hideMark/>
          </w:tcPr>
          <w:p w14:paraId="6294F087" w14:textId="77777777" w:rsidR="002F0BDC" w:rsidRPr="002F0BDC" w:rsidRDefault="002F0BDC" w:rsidP="002F0BDC">
            <w:r w:rsidRPr="002F0BDC">
              <w:t>30–45</w:t>
            </w:r>
          </w:p>
        </w:tc>
        <w:tc>
          <w:tcPr>
            <w:tcW w:w="0" w:type="auto"/>
            <w:shd w:val="clear" w:color="auto" w:fill="F8FAFD"/>
            <w:tcMar>
              <w:top w:w="120" w:type="dxa"/>
              <w:left w:w="180" w:type="dxa"/>
              <w:bottom w:w="120" w:type="dxa"/>
              <w:right w:w="180" w:type="dxa"/>
            </w:tcMar>
            <w:hideMark/>
          </w:tcPr>
          <w:p w14:paraId="06DC4AF4" w14:textId="77777777" w:rsidR="002F0BDC" w:rsidRPr="002F0BDC" w:rsidRDefault="002F0BDC" w:rsidP="002F0BDC">
            <w:r w:rsidRPr="002F0BDC">
              <w:t xml:space="preserve">100 </w:t>
            </w:r>
            <w:proofErr w:type="spellStart"/>
            <w:r w:rsidRPr="002F0BDC">
              <w:t>to</w:t>
            </w:r>
            <w:proofErr w:type="spellEnd"/>
            <w:r w:rsidRPr="002F0BDC">
              <w:t xml:space="preserve"> 140 </w:t>
            </w:r>
          </w:p>
        </w:tc>
      </w:tr>
      <w:tr w:rsidR="002F0BDC" w:rsidRPr="002F0BDC" w14:paraId="463948B7" w14:textId="77777777">
        <w:trPr>
          <w:tblCellSpacing w:w="15" w:type="dxa"/>
        </w:trPr>
        <w:tc>
          <w:tcPr>
            <w:tcW w:w="0" w:type="auto"/>
            <w:shd w:val="clear" w:color="auto" w:fill="F8FAFD"/>
            <w:tcMar>
              <w:top w:w="120" w:type="dxa"/>
              <w:left w:w="180" w:type="dxa"/>
              <w:bottom w:w="120" w:type="dxa"/>
              <w:right w:w="180" w:type="dxa"/>
            </w:tcMar>
            <w:hideMark/>
          </w:tcPr>
          <w:p w14:paraId="0A86FD77" w14:textId="77777777" w:rsidR="002F0BDC" w:rsidRPr="002F0BDC" w:rsidRDefault="002F0BDC" w:rsidP="002F0BDC">
            <w:r w:rsidRPr="002F0BDC">
              <w:rPr>
                <w:b/>
                <w:bCs/>
              </w:rPr>
              <w:t xml:space="preserve">Capital </w:t>
            </w:r>
            <w:proofErr w:type="spellStart"/>
            <w:r w:rsidRPr="002F0BDC">
              <w:rPr>
                <w:b/>
                <w:bCs/>
              </w:rPr>
              <w:t>Goods</w:t>
            </w:r>
            <w:proofErr w:type="spellEnd"/>
          </w:p>
        </w:tc>
        <w:tc>
          <w:tcPr>
            <w:tcW w:w="0" w:type="auto"/>
            <w:shd w:val="clear" w:color="auto" w:fill="F8FAFD"/>
            <w:tcMar>
              <w:top w:w="120" w:type="dxa"/>
              <w:left w:w="180" w:type="dxa"/>
              <w:bottom w:w="120" w:type="dxa"/>
              <w:right w:w="180" w:type="dxa"/>
            </w:tcMar>
            <w:hideMark/>
          </w:tcPr>
          <w:p w14:paraId="77B6846F" w14:textId="77777777" w:rsidR="002F0BDC" w:rsidRPr="002F0BDC" w:rsidRDefault="002F0BDC" w:rsidP="002F0BDC">
            <w:r w:rsidRPr="002F0BDC">
              <w:t>120–180</w:t>
            </w:r>
          </w:p>
        </w:tc>
        <w:tc>
          <w:tcPr>
            <w:tcW w:w="0" w:type="auto"/>
            <w:shd w:val="clear" w:color="auto" w:fill="F8FAFD"/>
            <w:tcMar>
              <w:top w:w="120" w:type="dxa"/>
              <w:left w:w="180" w:type="dxa"/>
              <w:bottom w:w="120" w:type="dxa"/>
              <w:right w:w="180" w:type="dxa"/>
            </w:tcMar>
            <w:hideMark/>
          </w:tcPr>
          <w:p w14:paraId="30039E18" w14:textId="77777777" w:rsidR="002F0BDC" w:rsidRPr="002F0BDC" w:rsidRDefault="002F0BDC" w:rsidP="002F0BDC">
            <w:r w:rsidRPr="002F0BDC">
              <w:t>90–150</w:t>
            </w:r>
          </w:p>
        </w:tc>
        <w:tc>
          <w:tcPr>
            <w:tcW w:w="0" w:type="auto"/>
            <w:shd w:val="clear" w:color="auto" w:fill="F8FAFD"/>
            <w:tcMar>
              <w:top w:w="120" w:type="dxa"/>
              <w:left w:w="180" w:type="dxa"/>
              <w:bottom w:w="120" w:type="dxa"/>
              <w:right w:w="180" w:type="dxa"/>
            </w:tcMar>
            <w:hideMark/>
          </w:tcPr>
          <w:p w14:paraId="15D4DDA8" w14:textId="77777777" w:rsidR="002F0BDC" w:rsidRPr="002F0BDC" w:rsidRDefault="002F0BDC" w:rsidP="002F0BDC">
            <w:r w:rsidRPr="002F0BDC">
              <w:t>60–90</w:t>
            </w:r>
          </w:p>
        </w:tc>
        <w:tc>
          <w:tcPr>
            <w:tcW w:w="0" w:type="auto"/>
            <w:shd w:val="clear" w:color="auto" w:fill="F8FAFD"/>
            <w:tcMar>
              <w:top w:w="120" w:type="dxa"/>
              <w:left w:w="180" w:type="dxa"/>
              <w:bottom w:w="120" w:type="dxa"/>
              <w:right w:w="180" w:type="dxa"/>
            </w:tcMar>
            <w:hideMark/>
          </w:tcPr>
          <w:p w14:paraId="22482ED4" w14:textId="77777777" w:rsidR="002F0BDC" w:rsidRPr="002F0BDC" w:rsidRDefault="002F0BDC" w:rsidP="002F0BDC">
            <w:r w:rsidRPr="002F0BDC">
              <w:t xml:space="preserve">150 </w:t>
            </w:r>
            <w:proofErr w:type="spellStart"/>
            <w:r w:rsidRPr="002F0BDC">
              <w:t>to</w:t>
            </w:r>
            <w:proofErr w:type="spellEnd"/>
            <w:r w:rsidRPr="002F0BDC">
              <w:t xml:space="preserve"> 240 </w:t>
            </w:r>
          </w:p>
        </w:tc>
      </w:tr>
      <w:tr w:rsidR="002F0BDC" w:rsidRPr="002F0BDC" w14:paraId="5303A89C" w14:textId="77777777">
        <w:trPr>
          <w:tblCellSpacing w:w="15" w:type="dxa"/>
        </w:trPr>
        <w:tc>
          <w:tcPr>
            <w:tcW w:w="0" w:type="auto"/>
            <w:shd w:val="clear" w:color="auto" w:fill="F8FAFD"/>
            <w:tcMar>
              <w:top w:w="120" w:type="dxa"/>
              <w:left w:w="180" w:type="dxa"/>
              <w:bottom w:w="120" w:type="dxa"/>
              <w:right w:w="180" w:type="dxa"/>
            </w:tcMar>
            <w:hideMark/>
          </w:tcPr>
          <w:p w14:paraId="1EA77C2F" w14:textId="77777777" w:rsidR="002F0BDC" w:rsidRPr="002F0BDC" w:rsidRDefault="002F0BDC" w:rsidP="002F0BDC">
            <w:r w:rsidRPr="002F0BDC">
              <w:rPr>
                <w:b/>
                <w:bCs/>
              </w:rPr>
              <w:t>Infrastructure</w:t>
            </w:r>
          </w:p>
        </w:tc>
        <w:tc>
          <w:tcPr>
            <w:tcW w:w="0" w:type="auto"/>
            <w:shd w:val="clear" w:color="auto" w:fill="F8FAFD"/>
            <w:tcMar>
              <w:top w:w="120" w:type="dxa"/>
              <w:left w:w="180" w:type="dxa"/>
              <w:bottom w:w="120" w:type="dxa"/>
              <w:right w:w="180" w:type="dxa"/>
            </w:tcMar>
            <w:hideMark/>
          </w:tcPr>
          <w:p w14:paraId="1A53D98A" w14:textId="77777777" w:rsidR="002F0BDC" w:rsidRPr="002F0BDC" w:rsidRDefault="002F0BDC" w:rsidP="002F0BDC">
            <w:r w:rsidRPr="002F0BDC">
              <w:t>60–100</w:t>
            </w:r>
          </w:p>
        </w:tc>
        <w:tc>
          <w:tcPr>
            <w:tcW w:w="0" w:type="auto"/>
            <w:shd w:val="clear" w:color="auto" w:fill="F8FAFD"/>
            <w:tcMar>
              <w:top w:w="120" w:type="dxa"/>
              <w:left w:w="180" w:type="dxa"/>
              <w:bottom w:w="120" w:type="dxa"/>
              <w:right w:w="180" w:type="dxa"/>
            </w:tcMar>
            <w:hideMark/>
          </w:tcPr>
          <w:p w14:paraId="1DCD3B08" w14:textId="77777777" w:rsidR="002F0BDC" w:rsidRPr="002F0BDC" w:rsidRDefault="002F0BDC" w:rsidP="002F0BDC">
            <w:r w:rsidRPr="002F0BDC">
              <w:t>150–250</w:t>
            </w:r>
          </w:p>
        </w:tc>
        <w:tc>
          <w:tcPr>
            <w:tcW w:w="0" w:type="auto"/>
            <w:shd w:val="clear" w:color="auto" w:fill="F8FAFD"/>
            <w:tcMar>
              <w:top w:w="120" w:type="dxa"/>
              <w:left w:w="180" w:type="dxa"/>
              <w:bottom w:w="120" w:type="dxa"/>
              <w:right w:w="180" w:type="dxa"/>
            </w:tcMar>
            <w:hideMark/>
          </w:tcPr>
          <w:p w14:paraId="655E68B6" w14:textId="77777777" w:rsidR="002F0BDC" w:rsidRPr="002F0BDC" w:rsidRDefault="002F0BDC" w:rsidP="002F0BDC">
            <w:r w:rsidRPr="002F0BDC">
              <w:t>45–90</w:t>
            </w:r>
          </w:p>
        </w:tc>
        <w:tc>
          <w:tcPr>
            <w:tcW w:w="0" w:type="auto"/>
            <w:shd w:val="clear" w:color="auto" w:fill="F8FAFD"/>
            <w:tcMar>
              <w:top w:w="120" w:type="dxa"/>
              <w:left w:w="180" w:type="dxa"/>
              <w:bottom w:w="120" w:type="dxa"/>
              <w:right w:w="180" w:type="dxa"/>
            </w:tcMar>
            <w:hideMark/>
          </w:tcPr>
          <w:p w14:paraId="71E400E8" w14:textId="77777777" w:rsidR="002F0BDC" w:rsidRPr="002F0BDC" w:rsidRDefault="002F0BDC" w:rsidP="002F0BDC">
            <w:r w:rsidRPr="002F0BDC">
              <w:t xml:space="preserve">180 </w:t>
            </w:r>
            <w:proofErr w:type="spellStart"/>
            <w:r w:rsidRPr="002F0BDC">
              <w:t>to</w:t>
            </w:r>
            <w:proofErr w:type="spellEnd"/>
            <w:r w:rsidRPr="002F0BDC">
              <w:t xml:space="preserve"> 300+ </w:t>
            </w:r>
          </w:p>
        </w:tc>
      </w:tr>
    </w:tbl>
    <w:p w14:paraId="4E684AE7" w14:textId="77777777" w:rsidR="002F0BDC" w:rsidRPr="002F0BDC" w:rsidRDefault="002F0BDC" w:rsidP="002F0BDC">
      <w:r w:rsidRPr="002F0BDC">
        <w:t>  </w:t>
      </w:r>
    </w:p>
    <w:p w14:paraId="120E5EC8" w14:textId="77777777" w:rsidR="002F0BDC" w:rsidRPr="002F0BDC" w:rsidRDefault="002F0BDC" w:rsidP="002F0BDC">
      <w:pPr>
        <w:rPr>
          <w:lang w:val="en-US"/>
        </w:rPr>
      </w:pPr>
      <w:r w:rsidRPr="002F0BDC">
        <w:rPr>
          <w:lang w:val="en-US"/>
        </w:rPr>
        <w:t>The FMCG sector remains the gold standard for working capital management in India. Companies like HUL leverage their immense brand power to demand upfront payments from distributors while negotiating extended terms with their vast supplier base. In contrast, the infrastructure sector is plagued by delayed payments from government entities and high upfront investment requirements, leading to cycles that often exceed 300 days.   </w:t>
      </w:r>
    </w:p>
    <w:p w14:paraId="4C56D07C" w14:textId="77777777" w:rsidR="002F0BDC" w:rsidRPr="002F0BDC" w:rsidRDefault="002F0BDC" w:rsidP="002F0BDC">
      <w:pPr>
        <w:rPr>
          <w:b/>
          <w:bCs/>
          <w:lang w:val="en-US"/>
        </w:rPr>
      </w:pPr>
      <w:r w:rsidRPr="002F0BDC">
        <w:rPr>
          <w:b/>
          <w:bCs/>
          <w:lang w:val="en-US"/>
        </w:rPr>
        <w:t>Root Cause Analysis: The Indian Impediments to Velocity</w:t>
      </w:r>
    </w:p>
    <w:p w14:paraId="3988F6DF" w14:textId="77777777" w:rsidR="002F0BDC" w:rsidRPr="002F0BDC" w:rsidRDefault="002F0BDC" w:rsidP="002F0BDC">
      <w:pPr>
        <w:rPr>
          <w:lang w:val="en-US"/>
        </w:rPr>
      </w:pPr>
      <w:r w:rsidRPr="002F0BDC">
        <w:rPr>
          <w:lang w:val="en-US"/>
        </w:rPr>
        <w:t>Understanding why an Indian company has a high operating cycle requires a deep dive into both internal process failures and external environmental factors.   </w:t>
      </w:r>
    </w:p>
    <w:p w14:paraId="567389F9" w14:textId="77777777" w:rsidR="002F0BDC" w:rsidRPr="002F0BDC" w:rsidRDefault="002F0BDC" w:rsidP="002F0BDC">
      <w:pPr>
        <w:rPr>
          <w:b/>
          <w:bCs/>
          <w:lang w:val="en-US"/>
        </w:rPr>
      </w:pPr>
      <w:r w:rsidRPr="002F0BDC">
        <w:rPr>
          <w:b/>
          <w:bCs/>
          <w:lang w:val="en-US"/>
        </w:rPr>
        <w:t>Internal Determinants: The "Just-in-Case" Mentality</w:t>
      </w:r>
    </w:p>
    <w:p w14:paraId="298101CE" w14:textId="77777777" w:rsidR="002F0BDC" w:rsidRPr="002F0BDC" w:rsidRDefault="002F0BDC" w:rsidP="002F0BDC">
      <w:pPr>
        <w:rPr>
          <w:lang w:val="en-US"/>
        </w:rPr>
      </w:pPr>
      <w:r w:rsidRPr="002F0BDC">
        <w:rPr>
          <w:lang w:val="en-US"/>
        </w:rPr>
        <w:t>Many Indian manufacturing firms operate under a conservative "Just-in-Case" philosophy. Fearing supply chain disruptions—often caused by poor logistics infrastructure or erratic supplier behavior—they maintain high inventory buffers. While this protects against stock-outs, it results in a massive capital lock-up that suppresses ROCE. Furthermore, the lack of integrated ERP systems prevents real-time data flow, leading to "siloed" decision-making where production teams produce goods that the sales team cannot move.   </w:t>
      </w:r>
    </w:p>
    <w:p w14:paraId="552F0856" w14:textId="77777777" w:rsidR="002F0BDC" w:rsidRPr="002F0BDC" w:rsidRDefault="002F0BDC" w:rsidP="002F0BDC">
      <w:pPr>
        <w:rPr>
          <w:b/>
          <w:bCs/>
          <w:lang w:val="en-US"/>
        </w:rPr>
      </w:pPr>
      <w:r w:rsidRPr="002F0BDC">
        <w:rPr>
          <w:b/>
          <w:bCs/>
          <w:lang w:val="en-US"/>
        </w:rPr>
        <w:t>External Determinants: Credit Culture and Judicial Delays</w:t>
      </w:r>
    </w:p>
    <w:p w14:paraId="085FB68B" w14:textId="77777777" w:rsidR="002F0BDC" w:rsidRPr="002F0BDC" w:rsidRDefault="002F0BDC" w:rsidP="002F0BDC">
      <w:pPr>
        <w:rPr>
          <w:lang w:val="en-US"/>
        </w:rPr>
      </w:pPr>
      <w:r w:rsidRPr="002F0BDC">
        <w:rPr>
          <w:lang w:val="en-US"/>
        </w:rPr>
        <w:t xml:space="preserve">The Indian B2B credit culture is notoriously "soft," with large buyers often dictating terms to smaller suppliers. Furthermore, the judicial framework for recovering dues remains sluggish. Although the Insolvency and Bankruptcy Code (IBC) was designed to expedite resolutions, data shows that cases dragging beyond 600 days result in a recovery rate of only 26%, compared to 49% for those resolved within 330 days. This </w:t>
      </w:r>
      <w:r w:rsidRPr="002F0BDC">
        <w:rPr>
          <w:lang w:val="en-US"/>
        </w:rPr>
        <w:lastRenderedPageBreak/>
        <w:t xml:space="preserve">lack of a "credible threat" for non-payment encourages customers to delay payments, directly inflating </w:t>
      </w:r>
      <w:proofErr w:type="gramStart"/>
      <w:r w:rsidRPr="002F0BDC">
        <w:rPr>
          <w:lang w:val="en-US"/>
        </w:rPr>
        <w:t>the</w:t>
      </w:r>
      <w:proofErr w:type="gramEnd"/>
      <w:r w:rsidRPr="002F0BDC">
        <w:rPr>
          <w:lang w:val="en-US"/>
        </w:rPr>
        <w:t xml:space="preserve"> for listed entities.   </w:t>
      </w:r>
    </w:p>
    <w:p w14:paraId="5AEAAA2B" w14:textId="77777777" w:rsidR="002F0BDC" w:rsidRPr="002F0BDC" w:rsidRDefault="002F0BDC" w:rsidP="002F0BDC">
      <w:pPr>
        <w:rPr>
          <w:b/>
          <w:bCs/>
          <w:lang w:val="en-US"/>
        </w:rPr>
      </w:pPr>
      <w:r w:rsidRPr="002F0BDC">
        <w:rPr>
          <w:b/>
          <w:bCs/>
          <w:lang w:val="en-US"/>
        </w:rPr>
        <w:t>The GST Impact: A Working Capital Disruption</w:t>
      </w:r>
    </w:p>
    <w:p w14:paraId="778F0BE2" w14:textId="77777777" w:rsidR="002F0BDC" w:rsidRPr="002F0BDC" w:rsidRDefault="002F0BDC" w:rsidP="002F0BDC">
      <w:pPr>
        <w:rPr>
          <w:lang w:val="en-US"/>
        </w:rPr>
      </w:pPr>
      <w:r w:rsidRPr="002F0BDC">
        <w:rPr>
          <w:lang w:val="en-US"/>
        </w:rPr>
        <w:t xml:space="preserve">The implementation of the Goods and Services Tax (GST) has fundamentally altered the cash flow dynamics of Indian firms. GST must be paid on the issuance of an invoice or the receipt of an advance, regardless of whether the customer has cleared the dues. For a company with </w:t>
      </w:r>
      <w:proofErr w:type="gramStart"/>
      <w:r w:rsidRPr="002F0BDC">
        <w:rPr>
          <w:lang w:val="en-US"/>
        </w:rPr>
        <w:t>high ,</w:t>
      </w:r>
      <w:proofErr w:type="gramEnd"/>
      <w:r w:rsidRPr="002F0BDC">
        <w:rPr>
          <w:lang w:val="en-US"/>
        </w:rPr>
        <w:t xml:space="preserve"> this creates a "double whammy": they haven't received cash from the customer, yet they must remit 18% tax to the government. Additionally, the "Invoice Matching" requirement means that Input Tax Credit (ITC) is blocked if a supplier fails to file their returns, effectively parking company cash in a non-productive tax ledger.   </w:t>
      </w:r>
    </w:p>
    <w:p w14:paraId="45C7DC41" w14:textId="77777777" w:rsidR="002F0BDC" w:rsidRPr="002F0BDC" w:rsidRDefault="002F0BDC" w:rsidP="002F0BDC">
      <w:pPr>
        <w:rPr>
          <w:b/>
          <w:bCs/>
          <w:lang w:val="en-US"/>
        </w:rPr>
      </w:pPr>
      <w:r w:rsidRPr="002F0BDC">
        <w:rPr>
          <w:b/>
          <w:bCs/>
          <w:lang w:val="en-US"/>
        </w:rPr>
        <w:t>Strategic Intervention: Inventory Management (DIO)</w:t>
      </w:r>
    </w:p>
    <w:p w14:paraId="1F598CE5" w14:textId="77777777" w:rsidR="002F0BDC" w:rsidRPr="002F0BDC" w:rsidRDefault="002F0BDC" w:rsidP="002F0BDC">
      <w:pPr>
        <w:rPr>
          <w:lang w:val="en-US"/>
        </w:rPr>
      </w:pPr>
      <w:r w:rsidRPr="002F0BDC">
        <w:rPr>
          <w:lang w:val="en-US"/>
        </w:rPr>
        <w:t>Reducing requires a transition from intuition-based stocking to data-driven, agile manufacturing.   </w:t>
      </w:r>
    </w:p>
    <w:p w14:paraId="497EFA84" w14:textId="77777777" w:rsidR="002F0BDC" w:rsidRPr="002F0BDC" w:rsidRDefault="002F0BDC" w:rsidP="002F0BDC">
      <w:pPr>
        <w:rPr>
          <w:b/>
          <w:bCs/>
          <w:lang w:val="en-US"/>
        </w:rPr>
      </w:pPr>
      <w:r w:rsidRPr="002F0BDC">
        <w:rPr>
          <w:b/>
          <w:bCs/>
          <w:lang w:val="en-US"/>
        </w:rPr>
        <w:t>Adopting Just-in-Time (JIT) and Demand-Pull Models</w:t>
      </w:r>
    </w:p>
    <w:p w14:paraId="275D852D" w14:textId="77777777" w:rsidR="002F0BDC" w:rsidRPr="002F0BDC" w:rsidRDefault="002F0BDC" w:rsidP="002F0BDC">
      <w:pPr>
        <w:rPr>
          <w:lang w:val="en-US"/>
        </w:rPr>
      </w:pPr>
      <w:r w:rsidRPr="002F0BDC">
        <w:rPr>
          <w:lang w:val="en-US"/>
        </w:rPr>
        <w:t xml:space="preserve">The goal for a CFO should be to synchronize production with actual consumption. By implementing JIT, companies can reduce excess inventory, which not only frees up cash but also reduces the risks of obsolescence and warehousing costs. A McKinsey study indicates that data-driven forecasting can reduce inventory levels by 20%, significantly shortening </w:t>
      </w:r>
      <w:proofErr w:type="gramStart"/>
      <w:r w:rsidRPr="002F0BDC">
        <w:rPr>
          <w:lang w:val="en-US"/>
        </w:rPr>
        <w:t>the .</w:t>
      </w:r>
      <w:proofErr w:type="gramEnd"/>
      <w:r w:rsidRPr="002F0BDC">
        <w:rPr>
          <w:lang w:val="en-US"/>
        </w:rPr>
        <w:t>   </w:t>
      </w:r>
    </w:p>
    <w:p w14:paraId="49CAE66A" w14:textId="77777777" w:rsidR="002F0BDC" w:rsidRPr="002F0BDC" w:rsidRDefault="002F0BDC" w:rsidP="002F0BDC">
      <w:pPr>
        <w:rPr>
          <w:b/>
          <w:bCs/>
          <w:lang w:val="en-US"/>
        </w:rPr>
      </w:pPr>
      <w:r w:rsidRPr="002F0BDC">
        <w:rPr>
          <w:b/>
          <w:bCs/>
          <w:lang w:val="en-US"/>
        </w:rPr>
        <w:t>AI and Machine Learning for Forecasting</w:t>
      </w:r>
    </w:p>
    <w:p w14:paraId="07F64CE6" w14:textId="77777777" w:rsidR="002F0BDC" w:rsidRPr="002F0BDC" w:rsidRDefault="002F0BDC" w:rsidP="002F0BDC">
      <w:pPr>
        <w:rPr>
          <w:lang w:val="en-US"/>
        </w:rPr>
      </w:pPr>
      <w:r w:rsidRPr="002F0BDC">
        <w:rPr>
          <w:lang w:val="en-US"/>
        </w:rPr>
        <w:t>Artificial Intelligence is a "force multiplier" in supply chain optimization. By using AI-driven analytics, companies can predict seasonal demand spikes and troughs with high precision. Tools like "Capital Control Towers" provide real-time transparency across the organization, identifying bottlenecks in the flow of goods before they manifest as bloated inventory on the balance sheet.   </w:t>
      </w:r>
    </w:p>
    <w:p w14:paraId="0EF0C59C" w14:textId="77777777" w:rsidR="002F0BDC" w:rsidRPr="002F0BDC" w:rsidRDefault="002F0BDC" w:rsidP="002F0BDC">
      <w:pPr>
        <w:rPr>
          <w:b/>
          <w:bCs/>
          <w:lang w:val="en-US"/>
        </w:rPr>
      </w:pPr>
      <w:r w:rsidRPr="002F0BDC">
        <w:rPr>
          <w:b/>
          <w:bCs/>
          <w:lang w:val="en-US"/>
        </w:rPr>
        <w:t>Strategic Sourcing and Vendor-Managed Inventory (VMI)</w:t>
      </w:r>
    </w:p>
    <w:p w14:paraId="45D9B209" w14:textId="77777777" w:rsidR="002F0BDC" w:rsidRPr="002F0BDC" w:rsidRDefault="002F0BDC" w:rsidP="002F0BDC">
      <w:pPr>
        <w:rPr>
          <w:lang w:val="en-US"/>
        </w:rPr>
      </w:pPr>
      <w:r w:rsidRPr="002F0BDC">
        <w:rPr>
          <w:lang w:val="en-US"/>
        </w:rPr>
        <w:t xml:space="preserve">Moving toward local suppliers can drastically reduce lead times, as domestic partners are less affected by international logistical volatility. In a VMI arrangement, the supplier maintains a specified level of inventory at the buyer's warehouse, but the buyer only pays when the items are </w:t>
      </w:r>
      <w:proofErr w:type="gramStart"/>
      <w:r w:rsidRPr="002F0BDC">
        <w:rPr>
          <w:lang w:val="en-US"/>
        </w:rPr>
        <w:t>actually consumed</w:t>
      </w:r>
      <w:proofErr w:type="gramEnd"/>
      <w:r w:rsidRPr="002F0BDC">
        <w:rPr>
          <w:lang w:val="en-US"/>
        </w:rPr>
        <w:t xml:space="preserve">. This effectively shifts the burden from the manufacturer's balance sheet to the </w:t>
      </w:r>
      <w:proofErr w:type="gramStart"/>
      <w:r w:rsidRPr="002F0BDC">
        <w:rPr>
          <w:lang w:val="en-US"/>
        </w:rPr>
        <w:t>supplier's</w:t>
      </w:r>
      <w:proofErr w:type="gramEnd"/>
      <w:r w:rsidRPr="002F0BDC">
        <w:rPr>
          <w:lang w:val="en-US"/>
        </w:rPr>
        <w:t>, while ensuring that production never halts.   </w:t>
      </w:r>
    </w:p>
    <w:p w14:paraId="4B8FDE3B" w14:textId="77777777" w:rsidR="002F0BDC" w:rsidRPr="002F0BDC" w:rsidRDefault="002F0BDC" w:rsidP="002F0BDC">
      <w:pPr>
        <w:rPr>
          <w:b/>
          <w:bCs/>
          <w:lang w:val="en-US"/>
        </w:rPr>
      </w:pPr>
      <w:r w:rsidRPr="002F0BDC">
        <w:rPr>
          <w:b/>
          <w:bCs/>
          <w:lang w:val="en-US"/>
        </w:rPr>
        <w:t>Strategic Intervention: Receivable Acceleration (DSO)</w:t>
      </w:r>
    </w:p>
    <w:p w14:paraId="694D6AE7" w14:textId="77777777" w:rsidR="002F0BDC" w:rsidRPr="002F0BDC" w:rsidRDefault="002F0BDC" w:rsidP="002F0BDC">
      <w:pPr>
        <w:rPr>
          <w:lang w:val="en-US"/>
        </w:rPr>
      </w:pPr>
      <w:r w:rsidRPr="002F0BDC">
        <w:rPr>
          <w:lang w:val="en-US"/>
        </w:rPr>
        <w:t>The fastest way to improve a company's cash position is often through the aggressive management of receivables.   </w:t>
      </w:r>
    </w:p>
    <w:p w14:paraId="5A0B0838" w14:textId="77777777" w:rsidR="002F0BDC" w:rsidRPr="002F0BDC" w:rsidRDefault="002F0BDC" w:rsidP="002F0BDC">
      <w:pPr>
        <w:rPr>
          <w:b/>
          <w:bCs/>
          <w:lang w:val="en-US"/>
        </w:rPr>
      </w:pPr>
      <w:r w:rsidRPr="002F0BDC">
        <w:rPr>
          <w:b/>
          <w:bCs/>
          <w:lang w:val="en-US"/>
        </w:rPr>
        <w:lastRenderedPageBreak/>
        <w:t xml:space="preserve">The </w:t>
      </w:r>
      <w:proofErr w:type="spellStart"/>
      <w:r w:rsidRPr="002F0BDC">
        <w:rPr>
          <w:b/>
          <w:bCs/>
          <w:lang w:val="en-US"/>
        </w:rPr>
        <w:t>TReDS</w:t>
      </w:r>
      <w:proofErr w:type="spellEnd"/>
      <w:r w:rsidRPr="002F0BDC">
        <w:rPr>
          <w:b/>
          <w:bCs/>
          <w:lang w:val="en-US"/>
        </w:rPr>
        <w:t xml:space="preserve"> Revolution: Unlocking Liquid Assets</w:t>
      </w:r>
    </w:p>
    <w:p w14:paraId="74472030" w14:textId="77777777" w:rsidR="002F0BDC" w:rsidRPr="002F0BDC" w:rsidRDefault="002F0BDC" w:rsidP="002F0BDC">
      <w:pPr>
        <w:rPr>
          <w:lang w:val="en-US"/>
        </w:rPr>
      </w:pPr>
      <w:r w:rsidRPr="002F0BDC">
        <w:rPr>
          <w:lang w:val="en-US"/>
        </w:rPr>
        <w:t>The Trade Receivables Discounting System (</w:t>
      </w:r>
      <w:proofErr w:type="spellStart"/>
      <w:r w:rsidRPr="002F0BDC">
        <w:rPr>
          <w:lang w:val="en-US"/>
        </w:rPr>
        <w:t>TReDS</w:t>
      </w:r>
      <w:proofErr w:type="spellEnd"/>
      <w:r w:rsidRPr="002F0BDC">
        <w:rPr>
          <w:lang w:val="en-US"/>
        </w:rPr>
        <w:t xml:space="preserve">) is perhaps the most significant structural reform for Indian working capital management. By auctioning trade receivables to multiple financiers on a digital platform like RXIL or M1xchange, companies can convert an invoice into cash within 24 to 72 hours. For MSME suppliers, this reduces the dependency on informal credit, and for large corporate buyers, it ensures supply chain stability without stressing their own balance sheets. Empirical data suggests that </w:t>
      </w:r>
      <w:proofErr w:type="spellStart"/>
      <w:r w:rsidRPr="002F0BDC">
        <w:rPr>
          <w:lang w:val="en-US"/>
        </w:rPr>
        <w:t>TReDS</w:t>
      </w:r>
      <w:proofErr w:type="spellEnd"/>
      <w:r w:rsidRPr="002F0BDC">
        <w:rPr>
          <w:lang w:val="en-US"/>
        </w:rPr>
        <w:t xml:space="preserve"> participation reduces the receivable cycle by an average of 23 percentage points.   </w:t>
      </w:r>
    </w:p>
    <w:p w14:paraId="67AAB517" w14:textId="77777777" w:rsidR="002F0BDC" w:rsidRPr="002F0BDC" w:rsidRDefault="002F0BDC" w:rsidP="002F0BDC">
      <w:pPr>
        <w:rPr>
          <w:b/>
          <w:bCs/>
          <w:lang w:val="en-US"/>
        </w:rPr>
      </w:pPr>
      <w:r w:rsidRPr="002F0BDC">
        <w:rPr>
          <w:b/>
          <w:bCs/>
          <w:lang w:val="en-US"/>
        </w:rPr>
        <w:t>Automating the Order-to-Cash (O2C) Workflow</w:t>
      </w:r>
    </w:p>
    <w:p w14:paraId="1AF223AD" w14:textId="77777777" w:rsidR="002F0BDC" w:rsidRPr="002F0BDC" w:rsidRDefault="002F0BDC" w:rsidP="002F0BDC">
      <w:pPr>
        <w:rPr>
          <w:lang w:val="en-US"/>
        </w:rPr>
      </w:pPr>
      <w:r w:rsidRPr="002F0BDC">
        <w:rPr>
          <w:lang w:val="en-US"/>
        </w:rPr>
        <w:t xml:space="preserve">Manual processes in invoicing and collections are a primary cause of </w:t>
      </w:r>
      <w:proofErr w:type="gramStart"/>
      <w:r w:rsidRPr="002F0BDC">
        <w:rPr>
          <w:lang w:val="en-US"/>
        </w:rPr>
        <w:t>high .</w:t>
      </w:r>
      <w:proofErr w:type="gramEnd"/>
      <w:r w:rsidRPr="002F0BDC">
        <w:rPr>
          <w:lang w:val="en-US"/>
        </w:rPr>
        <w:t xml:space="preserve"> Implementing automated </w:t>
      </w:r>
      <w:proofErr w:type="gramStart"/>
      <w:r w:rsidRPr="002F0BDC">
        <w:rPr>
          <w:lang w:val="en-US"/>
        </w:rPr>
        <w:t>invoicing</w:t>
      </w:r>
      <w:proofErr w:type="gramEnd"/>
      <w:r w:rsidRPr="002F0BDC">
        <w:rPr>
          <w:lang w:val="en-US"/>
        </w:rPr>
        <w:t xml:space="preserve"> systems ensures that clear, detailed, and accurate invoices are delivered instantly. Furthermore, an automated "dunning" process can send frequent, escalating reminders to customers as the due date approaches and after it passes, reducing the administrative burden on the finance team and improving on-time payments by 15-20%.   </w:t>
      </w:r>
    </w:p>
    <w:p w14:paraId="564F6209" w14:textId="77777777" w:rsidR="002F0BDC" w:rsidRPr="002F0BDC" w:rsidRDefault="002F0BDC" w:rsidP="002F0BDC">
      <w:pPr>
        <w:rPr>
          <w:b/>
          <w:bCs/>
          <w:lang w:val="en-US"/>
        </w:rPr>
      </w:pPr>
      <w:r w:rsidRPr="002F0BDC">
        <w:rPr>
          <w:b/>
          <w:bCs/>
          <w:lang w:val="en-US"/>
        </w:rPr>
        <w:t>Rigorous Credit Policy and Customer Onboarding</w:t>
      </w:r>
    </w:p>
    <w:p w14:paraId="3E70EA55" w14:textId="77777777" w:rsidR="002F0BDC" w:rsidRPr="002F0BDC" w:rsidRDefault="002F0BDC" w:rsidP="002F0BDC">
      <w:pPr>
        <w:rPr>
          <w:lang w:val="en-US"/>
        </w:rPr>
      </w:pPr>
      <w:r w:rsidRPr="002F0BDC">
        <w:rPr>
          <w:lang w:val="en-US"/>
        </w:rPr>
        <w:t>management starts before the sale is made. Management must enforce global-standard payment terms and perform stringent credit checks on all new customers. By setting clear credit limits and imposing penalties for late payments, the company can effectively "train" its customers to prioritize its invoices. In high-growth phases, it is critical to align sales incentives with cash collection rather than just gross billing.   </w:t>
      </w:r>
    </w:p>
    <w:p w14:paraId="0CDA8A69" w14:textId="77777777" w:rsidR="002F0BDC" w:rsidRPr="002F0BDC" w:rsidRDefault="002F0BDC" w:rsidP="002F0BDC">
      <w:pPr>
        <w:rPr>
          <w:b/>
          <w:bCs/>
          <w:lang w:val="en-US"/>
        </w:rPr>
      </w:pPr>
      <w:r w:rsidRPr="002F0BDC">
        <w:rPr>
          <w:b/>
          <w:bCs/>
          <w:lang w:val="en-US"/>
        </w:rPr>
        <w:t>Strategic Intervention: Payable Optimization (DPO)</w:t>
      </w:r>
    </w:p>
    <w:p w14:paraId="36FC9538" w14:textId="77777777" w:rsidR="002F0BDC" w:rsidRPr="002F0BDC" w:rsidRDefault="002F0BDC" w:rsidP="002F0BDC">
      <w:pPr>
        <w:rPr>
          <w:lang w:val="en-US"/>
        </w:rPr>
      </w:pPr>
      <w:r w:rsidRPr="002F0BDC">
        <w:rPr>
          <w:lang w:val="en-US"/>
        </w:rPr>
        <w:t>Optimizing payables is a delicate exercise in leveraging bargaining power without damaging critical supplier relationships.   </w:t>
      </w:r>
    </w:p>
    <w:p w14:paraId="12F54C3B" w14:textId="77777777" w:rsidR="002F0BDC" w:rsidRPr="002F0BDC" w:rsidRDefault="002F0BDC" w:rsidP="002F0BDC">
      <w:pPr>
        <w:rPr>
          <w:b/>
          <w:bCs/>
          <w:lang w:val="en-US"/>
        </w:rPr>
      </w:pPr>
      <w:r w:rsidRPr="002F0BDC">
        <w:rPr>
          <w:b/>
          <w:bCs/>
          <w:lang w:val="en-US"/>
        </w:rPr>
        <w:t>Batching and Scheduling Payments</w:t>
      </w:r>
    </w:p>
    <w:p w14:paraId="677A2077" w14:textId="77777777" w:rsidR="002F0BDC" w:rsidRPr="002F0BDC" w:rsidRDefault="002F0BDC" w:rsidP="002F0BDC">
      <w:pPr>
        <w:rPr>
          <w:lang w:val="en-US"/>
        </w:rPr>
      </w:pPr>
      <w:r w:rsidRPr="002F0BDC">
        <w:rPr>
          <w:lang w:val="en-US"/>
        </w:rPr>
        <w:t xml:space="preserve">Instead of processing payments on a rolling basis, companies should move to a batch system—weekly, fortnightly, or monthly. Shifting from a "forward-looking" schedule (paying invoices before they are due) to a "backward-looking" schedule (paying invoices that </w:t>
      </w:r>
      <w:proofErr w:type="gramStart"/>
      <w:r w:rsidRPr="002F0BDC">
        <w:rPr>
          <w:lang w:val="en-US"/>
        </w:rPr>
        <w:t>fell</w:t>
      </w:r>
      <w:proofErr w:type="gramEnd"/>
      <w:r w:rsidRPr="002F0BDC">
        <w:rPr>
          <w:lang w:val="en-US"/>
        </w:rPr>
        <w:t xml:space="preserve"> due since the last cycle) can delay cash outflows by several days without violating contractual terms.   </w:t>
      </w:r>
    </w:p>
    <w:p w14:paraId="533C5570" w14:textId="77777777" w:rsidR="002F0BDC" w:rsidRPr="002F0BDC" w:rsidRDefault="002F0BDC" w:rsidP="002F0BDC">
      <w:pPr>
        <w:rPr>
          <w:b/>
          <w:bCs/>
          <w:lang w:val="en-US"/>
        </w:rPr>
      </w:pPr>
      <w:r w:rsidRPr="002F0BDC">
        <w:rPr>
          <w:b/>
          <w:bCs/>
          <w:lang w:val="en-US"/>
        </w:rPr>
        <w:t>Supply Chain Finance (SCF) and Reverse Factoring</w:t>
      </w:r>
    </w:p>
    <w:p w14:paraId="4CA68C38" w14:textId="77777777" w:rsidR="002F0BDC" w:rsidRPr="002F0BDC" w:rsidRDefault="002F0BDC" w:rsidP="002F0BDC">
      <w:pPr>
        <w:rPr>
          <w:lang w:val="en-US"/>
        </w:rPr>
      </w:pPr>
      <w:r w:rsidRPr="002F0BDC">
        <w:rPr>
          <w:lang w:val="en-US"/>
        </w:rPr>
        <w:t xml:space="preserve">SCF allows a company to extend its payment terms while its suppliers get paid early by a bank or financial institution. The bank provides the funds based on the creditworthiness of the large buyer, often at much lower interest rates than the supplier </w:t>
      </w:r>
      <w:r w:rsidRPr="002F0BDC">
        <w:rPr>
          <w:lang w:val="en-US"/>
        </w:rPr>
        <w:lastRenderedPageBreak/>
        <w:t>could obtain on their own. This provides a win-win: the buyer improves their and cash flow, while the supplier improves their and liquidity.   </w:t>
      </w:r>
    </w:p>
    <w:p w14:paraId="2C5E14B7" w14:textId="77777777" w:rsidR="002F0BDC" w:rsidRPr="002F0BDC" w:rsidRDefault="002F0BDC" w:rsidP="002F0BDC">
      <w:pPr>
        <w:rPr>
          <w:b/>
          <w:bCs/>
          <w:lang w:val="en-US"/>
        </w:rPr>
      </w:pPr>
      <w:r w:rsidRPr="002F0BDC">
        <w:rPr>
          <w:b/>
          <w:bCs/>
          <w:lang w:val="en-US"/>
        </w:rPr>
        <w:t>Negotiating Favorable Terms via Early Payment Discounts</w:t>
      </w:r>
    </w:p>
    <w:p w14:paraId="304D7830" w14:textId="77777777" w:rsidR="002F0BDC" w:rsidRPr="002F0BDC" w:rsidRDefault="002F0BDC" w:rsidP="002F0BDC">
      <w:pPr>
        <w:rPr>
          <w:lang w:val="en-US"/>
        </w:rPr>
      </w:pPr>
      <w:r w:rsidRPr="002F0BDC">
        <w:rPr>
          <w:lang w:val="en-US"/>
        </w:rPr>
        <w:t>In a high-interest-rate environment, the "discount rate" offered by a supplier for early payment (e.g., 2/10 net 30) may be more cost-effective than holding the cash and paying at the end of the term. CFOs must perform regular "trade-off" calculations to decide whether to prioritize DPO extension or take advantage of these discounts to reduce the effective Cost of Goods Sold.   </w:t>
      </w:r>
    </w:p>
    <w:p w14:paraId="27089CC2" w14:textId="77777777" w:rsidR="002F0BDC" w:rsidRPr="002F0BDC" w:rsidRDefault="002F0BDC" w:rsidP="002F0BDC">
      <w:pPr>
        <w:rPr>
          <w:b/>
          <w:bCs/>
          <w:lang w:val="en-US"/>
        </w:rPr>
      </w:pPr>
      <w:r w:rsidRPr="002F0BDC">
        <w:rPr>
          <w:b/>
          <w:bCs/>
          <w:lang w:val="en-US"/>
        </w:rPr>
        <w:t>Quantifying the Strategic Prize: Cash Flow and ROCE</w:t>
      </w:r>
    </w:p>
    <w:p w14:paraId="107297B8" w14:textId="77777777" w:rsidR="002F0BDC" w:rsidRPr="002F0BDC" w:rsidRDefault="002F0BDC" w:rsidP="002F0BDC">
      <w:pPr>
        <w:rPr>
          <w:lang w:val="en-US"/>
        </w:rPr>
      </w:pPr>
      <w:r w:rsidRPr="002F0BDC">
        <w:rPr>
          <w:lang w:val="en-US"/>
        </w:rPr>
        <w:t>The impact of reducing the operating cycle is mathematically profound. For a mid-sized Indian listed company with an annual revenue of ₹1,000 Crore and an EBITDA margin of 15%, a reduction in the Operating Cycle by 20 days can unlock nearly ₹55 Crore in permanent liquidity.</w:t>
      </w:r>
    </w:p>
    <w:p w14:paraId="17332E23" w14:textId="77777777" w:rsidR="002F0BDC" w:rsidRPr="002F0BDC" w:rsidRDefault="002F0BDC" w:rsidP="002F0BDC">
      <w:pPr>
        <w:rPr>
          <w:b/>
          <w:bCs/>
          <w:lang w:val="en-US"/>
        </w:rPr>
      </w:pPr>
      <w:r w:rsidRPr="002F0BDC">
        <w:rPr>
          <w:b/>
          <w:bCs/>
          <w:lang w:val="en-US"/>
        </w:rPr>
        <w:t>The Calculation Framework</w:t>
      </w:r>
    </w:p>
    <w:p w14:paraId="217DA259" w14:textId="77777777" w:rsidR="002F0BDC" w:rsidRPr="002F0BDC" w:rsidRDefault="002F0BDC" w:rsidP="002F0BDC">
      <w:pPr>
        <w:rPr>
          <w:lang w:val="en-US"/>
        </w:rPr>
      </w:pPr>
      <w:r w:rsidRPr="002F0BDC">
        <w:rPr>
          <w:lang w:val="en-US"/>
        </w:rPr>
        <w:t>Consider a company with the following profile:</w:t>
      </w:r>
    </w:p>
    <w:p w14:paraId="6BC9FB8F" w14:textId="77777777" w:rsidR="002F0BDC" w:rsidRPr="002F0BDC" w:rsidRDefault="002F0BDC" w:rsidP="002F0BDC">
      <w:pPr>
        <w:numPr>
          <w:ilvl w:val="0"/>
          <w:numId w:val="4"/>
        </w:numPr>
        <w:rPr>
          <w:lang w:val="en-US"/>
        </w:rPr>
      </w:pPr>
      <w:r w:rsidRPr="002F0BDC">
        <w:rPr>
          <w:b/>
          <w:bCs/>
          <w:lang w:val="en-US"/>
        </w:rPr>
        <w:t>Annual Revenue:</w:t>
      </w:r>
      <w:r w:rsidRPr="002F0BDC">
        <w:rPr>
          <w:lang w:val="en-US"/>
        </w:rPr>
        <w:t xml:space="preserve"> ₹1,000 Cr (approx. ₹2.74 Cr per day)</w:t>
      </w:r>
    </w:p>
    <w:p w14:paraId="3EC484E0" w14:textId="77777777" w:rsidR="002F0BDC" w:rsidRPr="002F0BDC" w:rsidRDefault="002F0BDC" w:rsidP="002F0BDC">
      <w:pPr>
        <w:numPr>
          <w:ilvl w:val="0"/>
          <w:numId w:val="4"/>
        </w:numPr>
        <w:rPr>
          <w:lang w:val="en-US"/>
        </w:rPr>
      </w:pPr>
      <w:r w:rsidRPr="002F0BDC">
        <w:rPr>
          <w:b/>
          <w:bCs/>
          <w:lang w:val="en-US"/>
        </w:rPr>
        <w:t>Annual COGS (65%):</w:t>
      </w:r>
      <w:r w:rsidRPr="002F0BDC">
        <w:rPr>
          <w:lang w:val="en-US"/>
        </w:rPr>
        <w:t xml:space="preserve"> ₹650 Cr (approx. ₹1.78 Cr per day)</w:t>
      </w:r>
    </w:p>
    <w:p w14:paraId="142A5CD2" w14:textId="77777777" w:rsidR="002F0BDC" w:rsidRPr="002F0BDC" w:rsidRDefault="002F0BDC" w:rsidP="002F0BDC">
      <w:pPr>
        <w:rPr>
          <w:lang w:val="en-US"/>
        </w:rPr>
      </w:pPr>
      <w:r w:rsidRPr="002F0BDC">
        <w:rPr>
          <w:lang w:val="en-US"/>
        </w:rPr>
        <w:t xml:space="preserve">If the company achieves a 10-day reduction in and a 10-day reduction </w:t>
      </w:r>
      <w:proofErr w:type="gramStart"/>
      <w:r w:rsidRPr="002F0BDC">
        <w:rPr>
          <w:lang w:val="en-US"/>
        </w:rPr>
        <w:t>in :</w:t>
      </w:r>
      <w:proofErr w:type="gramEnd"/>
    </w:p>
    <w:p w14:paraId="383796CB" w14:textId="77777777" w:rsidR="002F0BDC" w:rsidRPr="002F0BDC" w:rsidRDefault="002F0BDC" w:rsidP="002F0BDC">
      <w:pPr>
        <w:numPr>
          <w:ilvl w:val="0"/>
          <w:numId w:val="5"/>
        </w:numPr>
      </w:pPr>
      <w:proofErr w:type="spellStart"/>
      <w:r w:rsidRPr="002F0BDC">
        <w:rPr>
          <w:b/>
          <w:bCs/>
        </w:rPr>
        <w:t>Receivables</w:t>
      </w:r>
      <w:proofErr w:type="spellEnd"/>
      <w:r w:rsidRPr="002F0BDC">
        <w:rPr>
          <w:b/>
          <w:bCs/>
        </w:rPr>
        <w:t xml:space="preserve"> Impact:</w:t>
      </w:r>
      <w:r w:rsidRPr="002F0BDC">
        <w:t xml:space="preserve"> </w:t>
      </w:r>
    </w:p>
    <w:p w14:paraId="47A0AD8E" w14:textId="77777777" w:rsidR="002F0BDC" w:rsidRPr="002F0BDC" w:rsidRDefault="002F0BDC" w:rsidP="002F0BDC">
      <w:pPr>
        <w:numPr>
          <w:ilvl w:val="0"/>
          <w:numId w:val="5"/>
        </w:numPr>
      </w:pPr>
      <w:proofErr w:type="spellStart"/>
      <w:r w:rsidRPr="002F0BDC">
        <w:rPr>
          <w:b/>
          <w:bCs/>
        </w:rPr>
        <w:t>Inventory</w:t>
      </w:r>
      <w:proofErr w:type="spellEnd"/>
      <w:r w:rsidRPr="002F0BDC">
        <w:rPr>
          <w:b/>
          <w:bCs/>
        </w:rPr>
        <w:t xml:space="preserve"> Impact:</w:t>
      </w:r>
      <w:r w:rsidRPr="002F0BDC">
        <w:t xml:space="preserve"> </w:t>
      </w:r>
    </w:p>
    <w:p w14:paraId="7A2F092F" w14:textId="77777777" w:rsidR="002F0BDC" w:rsidRPr="002F0BDC" w:rsidRDefault="002F0BDC" w:rsidP="002F0BDC">
      <w:pPr>
        <w:numPr>
          <w:ilvl w:val="0"/>
          <w:numId w:val="5"/>
        </w:numPr>
      </w:pPr>
      <w:r w:rsidRPr="002F0BDC">
        <w:rPr>
          <w:b/>
          <w:bCs/>
        </w:rPr>
        <w:t>Total Cash Freed:</w:t>
      </w:r>
      <w:r w:rsidRPr="002F0BDC">
        <w:t xml:space="preserve"> </w:t>
      </w:r>
      <w:r w:rsidRPr="002F0BDC">
        <w:rPr>
          <w:b/>
          <w:bCs/>
        </w:rPr>
        <w:t>₹45.2 Crore</w:t>
      </w:r>
    </w:p>
    <w:p w14:paraId="79803FCA" w14:textId="77777777" w:rsidR="002F0BDC" w:rsidRPr="002F0BDC" w:rsidRDefault="002F0BDC" w:rsidP="002F0BDC">
      <w:pPr>
        <w:rPr>
          <w:lang w:val="en-US"/>
        </w:rPr>
      </w:pPr>
      <w:r w:rsidRPr="002F0BDC">
        <w:rPr>
          <w:lang w:val="en-US"/>
        </w:rPr>
        <w:t xml:space="preserve">This cash is "interest-free" capital. If the company’s current bank borrowing rate is 10%, this reduction translates to an immediate </w:t>
      </w:r>
      <w:r w:rsidRPr="002F0BDC">
        <w:rPr>
          <w:b/>
          <w:bCs/>
          <w:lang w:val="en-US"/>
        </w:rPr>
        <w:t>₹4.5 Crore annual increase in Pre-Tax Profit</w:t>
      </w:r>
      <w:r w:rsidRPr="002F0BDC">
        <w:rPr>
          <w:lang w:val="en-US"/>
        </w:rPr>
        <w:t xml:space="preserve">. Furthermore, the </w:t>
      </w:r>
      <w:proofErr w:type="gramStart"/>
      <w:r w:rsidRPr="002F0BDC">
        <w:rPr>
          <w:lang w:val="en-US"/>
        </w:rPr>
        <w:t>ROCE—</w:t>
      </w:r>
      <w:proofErr w:type="gramEnd"/>
      <w:r w:rsidRPr="002F0BDC">
        <w:rPr>
          <w:lang w:val="en-US"/>
        </w:rPr>
        <w:t xml:space="preserve">the key driver of </w:t>
      </w:r>
      <w:proofErr w:type="gramStart"/>
      <w:r w:rsidRPr="002F0BDC">
        <w:rPr>
          <w:lang w:val="en-US"/>
        </w:rPr>
        <w:t>valuation—</w:t>
      </w:r>
      <w:proofErr w:type="gramEnd"/>
      <w:r w:rsidRPr="002F0BDC">
        <w:rPr>
          <w:lang w:val="en-US"/>
        </w:rPr>
        <w:t>improves significantly as the denominator (Capital Employed) shrinks while the numerator (EBIT) grows.   </w:t>
      </w:r>
    </w:p>
    <w:p w14:paraId="481C21FE" w14:textId="77777777" w:rsidR="002F0BDC" w:rsidRPr="002F0BDC" w:rsidRDefault="002F0BDC" w:rsidP="002F0BDC">
      <w:pPr>
        <w:rPr>
          <w:b/>
          <w:bCs/>
        </w:rPr>
      </w:pPr>
      <w:r w:rsidRPr="002F0BDC">
        <w:rPr>
          <w:b/>
          <w:bCs/>
        </w:rPr>
        <w:t xml:space="preserve">ROCE Impact </w:t>
      </w:r>
      <w:proofErr w:type="spellStart"/>
      <w:r w:rsidRPr="002F0BDC">
        <w:rPr>
          <w:b/>
          <w:bCs/>
        </w:rPr>
        <w:t>Visualization</w:t>
      </w:r>
      <w:proofErr w:type="spellEnd"/>
    </w:p>
    <w:tbl>
      <w:tblPr>
        <w:tblW w:w="9000" w:type="dxa"/>
        <w:tblCellMar>
          <w:top w:w="15" w:type="dxa"/>
          <w:left w:w="15" w:type="dxa"/>
          <w:bottom w:w="15" w:type="dxa"/>
          <w:right w:w="15" w:type="dxa"/>
        </w:tblCellMar>
        <w:tblLook w:val="04A0" w:firstRow="1" w:lastRow="0" w:firstColumn="1" w:lastColumn="0" w:noHBand="0" w:noVBand="1"/>
      </w:tblPr>
      <w:tblGrid>
        <w:gridCol w:w="3014"/>
        <w:gridCol w:w="2902"/>
        <w:gridCol w:w="3084"/>
      </w:tblGrid>
      <w:tr w:rsidR="002F0BDC" w:rsidRPr="002F0BDC" w14:paraId="7D6DD2A1" w14:textId="77777777">
        <w:trPr>
          <w:tblHeader/>
        </w:trPr>
        <w:tc>
          <w:tcPr>
            <w:tcW w:w="0" w:type="auto"/>
            <w:tcBorders>
              <w:top w:val="nil"/>
              <w:left w:val="nil"/>
              <w:bottom w:val="single" w:sz="4" w:space="0" w:color="auto"/>
              <w:right w:val="nil"/>
            </w:tcBorders>
            <w:tcMar>
              <w:top w:w="240" w:type="dxa"/>
              <w:left w:w="0" w:type="dxa"/>
              <w:bottom w:w="240" w:type="dxa"/>
              <w:right w:w="0" w:type="dxa"/>
            </w:tcMar>
            <w:hideMark/>
          </w:tcPr>
          <w:p w14:paraId="7A50DF9E" w14:textId="77777777" w:rsidR="002F0BDC" w:rsidRPr="002F0BDC" w:rsidRDefault="002F0BDC" w:rsidP="002F0BDC">
            <w:proofErr w:type="spellStart"/>
            <w:r w:rsidRPr="002F0BDC">
              <w:rPr>
                <w:b/>
                <w:bCs/>
              </w:rPr>
              <w:t>Metric</w:t>
            </w:r>
            <w:proofErr w:type="spellEnd"/>
          </w:p>
        </w:tc>
        <w:tc>
          <w:tcPr>
            <w:tcW w:w="0" w:type="auto"/>
            <w:tcBorders>
              <w:top w:val="nil"/>
              <w:left w:val="nil"/>
              <w:bottom w:val="single" w:sz="4" w:space="0" w:color="auto"/>
              <w:right w:val="nil"/>
            </w:tcBorders>
            <w:tcMar>
              <w:top w:w="240" w:type="dxa"/>
              <w:left w:w="0" w:type="dxa"/>
              <w:bottom w:w="240" w:type="dxa"/>
              <w:right w:w="0" w:type="dxa"/>
            </w:tcMar>
            <w:hideMark/>
          </w:tcPr>
          <w:p w14:paraId="0B9FA225" w14:textId="77777777" w:rsidR="002F0BDC" w:rsidRPr="002F0BDC" w:rsidRDefault="002F0BDC" w:rsidP="002F0BDC">
            <w:r w:rsidRPr="002F0BDC">
              <w:rPr>
                <w:b/>
                <w:bCs/>
              </w:rPr>
              <w:t>Pre-</w:t>
            </w:r>
            <w:proofErr w:type="spellStart"/>
            <w:r w:rsidRPr="002F0BDC">
              <w:rPr>
                <w:b/>
                <w:bCs/>
              </w:rPr>
              <w:t>Optimization</w:t>
            </w:r>
            <w:proofErr w:type="spellEnd"/>
          </w:p>
        </w:tc>
        <w:tc>
          <w:tcPr>
            <w:tcW w:w="0" w:type="auto"/>
            <w:tcBorders>
              <w:top w:val="nil"/>
              <w:left w:val="nil"/>
              <w:bottom w:val="single" w:sz="4" w:space="0" w:color="auto"/>
              <w:right w:val="nil"/>
            </w:tcBorders>
            <w:tcMar>
              <w:top w:w="240" w:type="dxa"/>
              <w:left w:w="0" w:type="dxa"/>
              <w:bottom w:w="240" w:type="dxa"/>
              <w:right w:w="0" w:type="dxa"/>
            </w:tcMar>
            <w:hideMark/>
          </w:tcPr>
          <w:p w14:paraId="061C0EBB" w14:textId="77777777" w:rsidR="002F0BDC" w:rsidRPr="002F0BDC" w:rsidRDefault="002F0BDC" w:rsidP="002F0BDC">
            <w:r w:rsidRPr="002F0BDC">
              <w:rPr>
                <w:b/>
                <w:bCs/>
              </w:rPr>
              <w:t>Post-</w:t>
            </w:r>
            <w:proofErr w:type="spellStart"/>
            <w:r w:rsidRPr="002F0BDC">
              <w:rPr>
                <w:b/>
                <w:bCs/>
              </w:rPr>
              <w:t>Optimization</w:t>
            </w:r>
            <w:proofErr w:type="spellEnd"/>
          </w:p>
        </w:tc>
      </w:tr>
      <w:tr w:rsidR="002F0BDC" w:rsidRPr="002F0BDC" w14:paraId="3A5B590D" w14:textId="77777777">
        <w:tc>
          <w:tcPr>
            <w:tcW w:w="0" w:type="auto"/>
            <w:tcBorders>
              <w:top w:val="nil"/>
              <w:left w:val="nil"/>
              <w:bottom w:val="single" w:sz="4" w:space="0" w:color="auto"/>
              <w:right w:val="nil"/>
            </w:tcBorders>
            <w:tcMar>
              <w:top w:w="240" w:type="dxa"/>
              <w:left w:w="0" w:type="dxa"/>
              <w:bottom w:w="240" w:type="dxa"/>
              <w:right w:w="0" w:type="dxa"/>
            </w:tcMar>
            <w:hideMark/>
          </w:tcPr>
          <w:p w14:paraId="79365B41" w14:textId="77777777" w:rsidR="002F0BDC" w:rsidRPr="002F0BDC" w:rsidRDefault="002F0BDC" w:rsidP="002F0BDC">
            <w:r w:rsidRPr="002F0BDC">
              <w:rPr>
                <w:b/>
                <w:bCs/>
              </w:rPr>
              <w:t xml:space="preserve">Capital </w:t>
            </w:r>
            <w:proofErr w:type="spellStart"/>
            <w:r w:rsidRPr="002F0BDC">
              <w:rPr>
                <w:b/>
                <w:bCs/>
              </w:rPr>
              <w:t>Employed</w:t>
            </w:r>
            <w:proofErr w:type="spellEnd"/>
          </w:p>
        </w:tc>
        <w:tc>
          <w:tcPr>
            <w:tcW w:w="0" w:type="auto"/>
            <w:tcBorders>
              <w:top w:val="nil"/>
              <w:left w:val="nil"/>
              <w:bottom w:val="single" w:sz="4" w:space="0" w:color="auto"/>
              <w:right w:val="nil"/>
            </w:tcBorders>
            <w:tcMar>
              <w:top w:w="240" w:type="dxa"/>
              <w:left w:w="0" w:type="dxa"/>
              <w:bottom w:w="240" w:type="dxa"/>
              <w:right w:w="0" w:type="dxa"/>
            </w:tcMar>
            <w:hideMark/>
          </w:tcPr>
          <w:p w14:paraId="3557B4B1" w14:textId="77777777" w:rsidR="002F0BDC" w:rsidRPr="002F0BDC" w:rsidRDefault="002F0BDC" w:rsidP="002F0BDC">
            <w:r w:rsidRPr="002F0BDC">
              <w:t xml:space="preserve">₹500 </w:t>
            </w:r>
            <w:proofErr w:type="spellStart"/>
            <w:r w:rsidRPr="002F0BDC">
              <w:t>Cr</w:t>
            </w:r>
            <w:proofErr w:type="spellEnd"/>
          </w:p>
        </w:tc>
        <w:tc>
          <w:tcPr>
            <w:tcW w:w="0" w:type="auto"/>
            <w:tcBorders>
              <w:top w:val="nil"/>
              <w:left w:val="nil"/>
              <w:bottom w:val="single" w:sz="4" w:space="0" w:color="auto"/>
              <w:right w:val="nil"/>
            </w:tcBorders>
            <w:tcMar>
              <w:top w:w="240" w:type="dxa"/>
              <w:left w:w="0" w:type="dxa"/>
              <w:bottom w:w="240" w:type="dxa"/>
              <w:right w:w="0" w:type="dxa"/>
            </w:tcMar>
            <w:hideMark/>
          </w:tcPr>
          <w:p w14:paraId="00BBA952" w14:textId="77777777" w:rsidR="002F0BDC" w:rsidRPr="002F0BDC" w:rsidRDefault="002F0BDC" w:rsidP="002F0BDC">
            <w:r w:rsidRPr="002F0BDC">
              <w:t xml:space="preserve">₹454.8 </w:t>
            </w:r>
            <w:proofErr w:type="spellStart"/>
            <w:r w:rsidRPr="002F0BDC">
              <w:t>Cr</w:t>
            </w:r>
            <w:proofErr w:type="spellEnd"/>
          </w:p>
        </w:tc>
      </w:tr>
      <w:tr w:rsidR="002F0BDC" w:rsidRPr="002F0BDC" w14:paraId="0CC6B31A" w14:textId="77777777">
        <w:tc>
          <w:tcPr>
            <w:tcW w:w="0" w:type="auto"/>
            <w:tcBorders>
              <w:top w:val="nil"/>
              <w:left w:val="nil"/>
              <w:bottom w:val="single" w:sz="4" w:space="0" w:color="auto"/>
              <w:right w:val="nil"/>
            </w:tcBorders>
            <w:tcMar>
              <w:top w:w="240" w:type="dxa"/>
              <w:left w:w="0" w:type="dxa"/>
              <w:bottom w:w="240" w:type="dxa"/>
              <w:right w:w="0" w:type="dxa"/>
            </w:tcMar>
            <w:hideMark/>
          </w:tcPr>
          <w:p w14:paraId="5D740C48" w14:textId="77777777" w:rsidR="002F0BDC" w:rsidRPr="002F0BDC" w:rsidRDefault="002F0BDC" w:rsidP="002F0BDC">
            <w:r w:rsidRPr="002F0BDC">
              <w:rPr>
                <w:b/>
                <w:bCs/>
              </w:rPr>
              <w:lastRenderedPageBreak/>
              <w:t>EBIT</w:t>
            </w:r>
          </w:p>
        </w:tc>
        <w:tc>
          <w:tcPr>
            <w:tcW w:w="0" w:type="auto"/>
            <w:tcBorders>
              <w:top w:val="nil"/>
              <w:left w:val="nil"/>
              <w:bottom w:val="single" w:sz="4" w:space="0" w:color="auto"/>
              <w:right w:val="nil"/>
            </w:tcBorders>
            <w:tcMar>
              <w:top w:w="240" w:type="dxa"/>
              <w:left w:w="0" w:type="dxa"/>
              <w:bottom w:w="240" w:type="dxa"/>
              <w:right w:w="0" w:type="dxa"/>
            </w:tcMar>
            <w:hideMark/>
          </w:tcPr>
          <w:p w14:paraId="4808132D" w14:textId="77777777" w:rsidR="002F0BDC" w:rsidRPr="002F0BDC" w:rsidRDefault="002F0BDC" w:rsidP="002F0BDC">
            <w:r w:rsidRPr="002F0BDC">
              <w:t xml:space="preserve">₹150 </w:t>
            </w:r>
            <w:proofErr w:type="spellStart"/>
            <w:r w:rsidRPr="002F0BDC">
              <w:t>Cr</w:t>
            </w:r>
            <w:proofErr w:type="spellEnd"/>
          </w:p>
        </w:tc>
        <w:tc>
          <w:tcPr>
            <w:tcW w:w="0" w:type="auto"/>
            <w:tcBorders>
              <w:top w:val="nil"/>
              <w:left w:val="nil"/>
              <w:bottom w:val="single" w:sz="4" w:space="0" w:color="auto"/>
              <w:right w:val="nil"/>
            </w:tcBorders>
            <w:tcMar>
              <w:top w:w="240" w:type="dxa"/>
              <w:left w:w="0" w:type="dxa"/>
              <w:bottom w:w="240" w:type="dxa"/>
              <w:right w:w="0" w:type="dxa"/>
            </w:tcMar>
            <w:hideMark/>
          </w:tcPr>
          <w:p w14:paraId="78D48A33" w14:textId="77777777" w:rsidR="002F0BDC" w:rsidRPr="002F0BDC" w:rsidRDefault="002F0BDC" w:rsidP="002F0BDC">
            <w:r w:rsidRPr="002F0BDC">
              <w:t xml:space="preserve">₹154.5 </w:t>
            </w:r>
            <w:proofErr w:type="spellStart"/>
            <w:r w:rsidRPr="002F0BDC">
              <w:t>Cr</w:t>
            </w:r>
            <w:proofErr w:type="spellEnd"/>
          </w:p>
        </w:tc>
      </w:tr>
      <w:tr w:rsidR="002F0BDC" w:rsidRPr="002F0BDC" w14:paraId="0021AFE5" w14:textId="77777777">
        <w:tc>
          <w:tcPr>
            <w:tcW w:w="0" w:type="auto"/>
            <w:tcBorders>
              <w:top w:val="nil"/>
              <w:left w:val="nil"/>
              <w:bottom w:val="single" w:sz="4" w:space="0" w:color="auto"/>
              <w:right w:val="nil"/>
            </w:tcBorders>
            <w:tcMar>
              <w:top w:w="240" w:type="dxa"/>
              <w:left w:w="0" w:type="dxa"/>
              <w:bottom w:w="240" w:type="dxa"/>
              <w:right w:w="0" w:type="dxa"/>
            </w:tcMar>
            <w:hideMark/>
          </w:tcPr>
          <w:p w14:paraId="3DD1A790" w14:textId="77777777" w:rsidR="002F0BDC" w:rsidRPr="002F0BDC" w:rsidRDefault="002F0BDC" w:rsidP="002F0BDC">
            <w:r w:rsidRPr="002F0BDC">
              <w:rPr>
                <w:b/>
                <w:bCs/>
              </w:rPr>
              <w:t>ROCE (%)</w:t>
            </w:r>
          </w:p>
        </w:tc>
        <w:tc>
          <w:tcPr>
            <w:tcW w:w="0" w:type="auto"/>
            <w:tcBorders>
              <w:top w:val="nil"/>
              <w:left w:val="nil"/>
              <w:bottom w:val="single" w:sz="4" w:space="0" w:color="auto"/>
              <w:right w:val="nil"/>
            </w:tcBorders>
            <w:tcMar>
              <w:top w:w="240" w:type="dxa"/>
              <w:left w:w="0" w:type="dxa"/>
              <w:bottom w:w="240" w:type="dxa"/>
              <w:right w:w="0" w:type="dxa"/>
            </w:tcMar>
            <w:hideMark/>
          </w:tcPr>
          <w:p w14:paraId="2F162537" w14:textId="77777777" w:rsidR="002F0BDC" w:rsidRPr="002F0BDC" w:rsidRDefault="002F0BDC" w:rsidP="002F0BDC">
            <w:r w:rsidRPr="002F0BDC">
              <w:rPr>
                <w:b/>
                <w:bCs/>
              </w:rPr>
              <w:t>30.0%</w:t>
            </w:r>
          </w:p>
        </w:tc>
        <w:tc>
          <w:tcPr>
            <w:tcW w:w="0" w:type="auto"/>
            <w:tcBorders>
              <w:top w:val="nil"/>
              <w:left w:val="nil"/>
              <w:bottom w:val="single" w:sz="4" w:space="0" w:color="auto"/>
              <w:right w:val="nil"/>
            </w:tcBorders>
            <w:tcMar>
              <w:top w:w="240" w:type="dxa"/>
              <w:left w:w="0" w:type="dxa"/>
              <w:bottom w:w="240" w:type="dxa"/>
              <w:right w:w="0" w:type="dxa"/>
            </w:tcMar>
            <w:hideMark/>
          </w:tcPr>
          <w:p w14:paraId="7F9E8A04" w14:textId="77777777" w:rsidR="002F0BDC" w:rsidRPr="002F0BDC" w:rsidRDefault="002F0BDC" w:rsidP="002F0BDC">
            <w:r w:rsidRPr="002F0BDC">
              <w:rPr>
                <w:b/>
                <w:bCs/>
              </w:rPr>
              <w:t>33.9%</w:t>
            </w:r>
          </w:p>
        </w:tc>
      </w:tr>
    </w:tbl>
    <w:p w14:paraId="2765A229" w14:textId="77777777" w:rsidR="002F0BDC" w:rsidRPr="002F0BDC" w:rsidRDefault="002F0BDC" w:rsidP="002F0BDC">
      <w:pPr>
        <w:rPr>
          <w:lang w:val="en-US"/>
        </w:rPr>
      </w:pPr>
      <w:r w:rsidRPr="002F0BDC">
        <w:rPr>
          <w:lang w:val="en-US"/>
        </w:rPr>
        <w:t xml:space="preserve">In this scenario, a mere 20-day improvement in the cash cycle results in a </w:t>
      </w:r>
      <w:r w:rsidRPr="002F0BDC">
        <w:rPr>
          <w:b/>
          <w:bCs/>
          <w:lang w:val="en-US"/>
        </w:rPr>
        <w:t>3.9 percentage point increase in ROCE</w:t>
      </w:r>
      <w:r w:rsidRPr="002F0BDC">
        <w:rPr>
          <w:lang w:val="en-US"/>
        </w:rPr>
        <w:t>, which in the Indian market often triggers a significant re-rating of the company’s P/E multiple.   </w:t>
      </w:r>
    </w:p>
    <w:p w14:paraId="010ABAB1" w14:textId="77777777" w:rsidR="002F0BDC" w:rsidRPr="002F0BDC" w:rsidRDefault="002F0BDC" w:rsidP="002F0BDC">
      <w:pPr>
        <w:rPr>
          <w:b/>
          <w:bCs/>
          <w:lang w:val="en-US"/>
        </w:rPr>
      </w:pPr>
      <w:r w:rsidRPr="002F0BDC">
        <w:rPr>
          <w:b/>
          <w:bCs/>
          <w:lang w:val="en-US"/>
        </w:rPr>
        <w:t>The 36-Month Transformation Roadmap</w:t>
      </w:r>
    </w:p>
    <w:p w14:paraId="13A8D838" w14:textId="77777777" w:rsidR="002F0BDC" w:rsidRPr="002F0BDC" w:rsidRDefault="002F0BDC" w:rsidP="002F0BDC">
      <w:pPr>
        <w:rPr>
          <w:lang w:val="en-US"/>
        </w:rPr>
      </w:pPr>
      <w:r w:rsidRPr="002F0BDC">
        <w:rPr>
          <w:lang w:val="en-US"/>
        </w:rPr>
        <w:t>A world-class operating cycle reduction program must be phased to balance quick wins with long-term structural changes.   </w:t>
      </w:r>
    </w:p>
    <w:p w14:paraId="4F7B8D7F" w14:textId="77777777" w:rsidR="002F0BDC" w:rsidRPr="002F0BDC" w:rsidRDefault="002F0BDC" w:rsidP="002F0BDC">
      <w:pPr>
        <w:rPr>
          <w:b/>
          <w:bCs/>
          <w:lang w:val="en-US"/>
        </w:rPr>
      </w:pPr>
      <w:r w:rsidRPr="002F0BDC">
        <w:rPr>
          <w:b/>
          <w:bCs/>
          <w:lang w:val="en-US"/>
        </w:rPr>
        <w:t>Phase 1: The "Liquidity Sprint" (0–6 Months)</w:t>
      </w:r>
    </w:p>
    <w:p w14:paraId="51F02C79" w14:textId="77777777" w:rsidR="002F0BDC" w:rsidRPr="002F0BDC" w:rsidRDefault="002F0BDC" w:rsidP="002F0BDC">
      <w:pPr>
        <w:numPr>
          <w:ilvl w:val="0"/>
          <w:numId w:val="6"/>
        </w:numPr>
        <w:rPr>
          <w:lang w:val="en-US"/>
        </w:rPr>
      </w:pPr>
      <w:r w:rsidRPr="002F0BDC">
        <w:rPr>
          <w:b/>
          <w:bCs/>
          <w:lang w:val="en-US"/>
        </w:rPr>
        <w:t>Audit and Cleanup:</w:t>
      </w:r>
      <w:r w:rsidRPr="002F0BDC">
        <w:rPr>
          <w:lang w:val="en-US"/>
        </w:rPr>
        <w:t xml:space="preserve"> Extract 10-year Screener.in data to identify the worst-performing segments. Resolve </w:t>
      </w:r>
      <w:proofErr w:type="gramStart"/>
      <w:r w:rsidRPr="002F0BDC">
        <w:rPr>
          <w:lang w:val="en-US"/>
        </w:rPr>
        <w:t>old disputed</w:t>
      </w:r>
      <w:proofErr w:type="gramEnd"/>
      <w:r w:rsidRPr="002F0BDC">
        <w:rPr>
          <w:lang w:val="en-US"/>
        </w:rPr>
        <w:t xml:space="preserve"> invoices and liquidate obsolete stock even at a discount to stop the "cash bleed".   </w:t>
      </w:r>
    </w:p>
    <w:p w14:paraId="05E6EC56" w14:textId="77777777" w:rsidR="002F0BDC" w:rsidRPr="002F0BDC" w:rsidRDefault="002F0BDC" w:rsidP="002F0BDC">
      <w:pPr>
        <w:numPr>
          <w:ilvl w:val="0"/>
          <w:numId w:val="6"/>
        </w:numPr>
        <w:rPr>
          <w:lang w:val="en-US"/>
        </w:rPr>
      </w:pPr>
      <w:r w:rsidRPr="002F0BDC">
        <w:rPr>
          <w:b/>
          <w:bCs/>
          <w:lang w:val="en-US"/>
        </w:rPr>
        <w:t>Digital Onboarding:</w:t>
      </w:r>
      <w:r w:rsidRPr="002F0BDC">
        <w:rPr>
          <w:lang w:val="en-US"/>
        </w:rPr>
        <w:t xml:space="preserve"> Mandate the use of </w:t>
      </w:r>
      <w:proofErr w:type="spellStart"/>
      <w:r w:rsidRPr="002F0BDC">
        <w:rPr>
          <w:lang w:val="en-US"/>
        </w:rPr>
        <w:t>TReDS</w:t>
      </w:r>
      <w:proofErr w:type="spellEnd"/>
      <w:r w:rsidRPr="002F0BDC">
        <w:rPr>
          <w:lang w:val="en-US"/>
        </w:rPr>
        <w:t xml:space="preserve"> for all eligible MSME vendors and register with multiple financiers.   </w:t>
      </w:r>
    </w:p>
    <w:p w14:paraId="07055292" w14:textId="77777777" w:rsidR="002F0BDC" w:rsidRPr="002F0BDC" w:rsidRDefault="002F0BDC" w:rsidP="002F0BDC">
      <w:pPr>
        <w:numPr>
          <w:ilvl w:val="0"/>
          <w:numId w:val="6"/>
        </w:numPr>
        <w:rPr>
          <w:lang w:val="en-US"/>
        </w:rPr>
      </w:pPr>
      <w:r w:rsidRPr="002F0BDC">
        <w:rPr>
          <w:b/>
          <w:bCs/>
          <w:lang w:val="en-US"/>
        </w:rPr>
        <w:t>Payment Discipline:</w:t>
      </w:r>
      <w:r w:rsidRPr="002F0BDC">
        <w:rPr>
          <w:lang w:val="en-US"/>
        </w:rPr>
        <w:t xml:space="preserve"> Implement a strict weekly </w:t>
      </w:r>
      <w:proofErr w:type="gramStart"/>
      <w:r w:rsidRPr="002F0BDC">
        <w:rPr>
          <w:lang w:val="en-US"/>
        </w:rPr>
        <w:t>payment batching</w:t>
      </w:r>
      <w:proofErr w:type="gramEnd"/>
      <w:r w:rsidRPr="002F0BDC">
        <w:rPr>
          <w:lang w:val="en-US"/>
        </w:rPr>
        <w:t xml:space="preserve"> schedule.   </w:t>
      </w:r>
    </w:p>
    <w:p w14:paraId="723D6EC6" w14:textId="77777777" w:rsidR="002F0BDC" w:rsidRPr="002F0BDC" w:rsidRDefault="002F0BDC" w:rsidP="002F0BDC">
      <w:pPr>
        <w:rPr>
          <w:b/>
          <w:bCs/>
        </w:rPr>
      </w:pPr>
      <w:r w:rsidRPr="002F0BDC">
        <w:rPr>
          <w:b/>
          <w:bCs/>
        </w:rPr>
        <w:t xml:space="preserve">Phase 2: </w:t>
      </w:r>
      <w:proofErr w:type="spellStart"/>
      <w:r w:rsidRPr="002F0BDC">
        <w:rPr>
          <w:b/>
          <w:bCs/>
        </w:rPr>
        <w:t>Structural</w:t>
      </w:r>
      <w:proofErr w:type="spellEnd"/>
      <w:r w:rsidRPr="002F0BDC">
        <w:rPr>
          <w:b/>
          <w:bCs/>
        </w:rPr>
        <w:t xml:space="preserve"> </w:t>
      </w:r>
      <w:proofErr w:type="spellStart"/>
      <w:r w:rsidRPr="002F0BDC">
        <w:rPr>
          <w:b/>
          <w:bCs/>
        </w:rPr>
        <w:t>Optimization</w:t>
      </w:r>
      <w:proofErr w:type="spellEnd"/>
      <w:r w:rsidRPr="002F0BDC">
        <w:rPr>
          <w:b/>
          <w:bCs/>
        </w:rPr>
        <w:t xml:space="preserve"> (6–18 </w:t>
      </w:r>
      <w:proofErr w:type="spellStart"/>
      <w:r w:rsidRPr="002F0BDC">
        <w:rPr>
          <w:b/>
          <w:bCs/>
        </w:rPr>
        <w:t>Months</w:t>
      </w:r>
      <w:proofErr w:type="spellEnd"/>
      <w:r w:rsidRPr="002F0BDC">
        <w:rPr>
          <w:b/>
          <w:bCs/>
        </w:rPr>
        <w:t>)</w:t>
      </w:r>
    </w:p>
    <w:p w14:paraId="39CF8390" w14:textId="46202E76" w:rsidR="002F0BDC" w:rsidRPr="002F0BDC" w:rsidRDefault="002F0BDC" w:rsidP="002F0BDC">
      <w:pPr>
        <w:numPr>
          <w:ilvl w:val="0"/>
          <w:numId w:val="7"/>
        </w:numPr>
        <w:rPr>
          <w:lang w:val="en-US"/>
        </w:rPr>
      </w:pPr>
      <w:r w:rsidRPr="002F0BDC">
        <w:rPr>
          <w:b/>
          <w:bCs/>
          <w:lang w:val="en-US"/>
        </w:rPr>
        <w:t>System Integration:</w:t>
      </w:r>
      <w:r w:rsidRPr="002F0BDC">
        <w:rPr>
          <w:lang w:val="en-US"/>
        </w:rPr>
        <w:t xml:space="preserve"> Deploy a "Capital Control Tower" or integrated ERP modules to provide real-time visibility into </w:t>
      </w:r>
      <w:r w:rsidR="00454600" w:rsidRPr="002F0BDC">
        <w:rPr>
          <w:lang w:val="en-US"/>
        </w:rPr>
        <w:t>and.</w:t>
      </w:r>
      <w:r w:rsidRPr="002F0BDC">
        <w:rPr>
          <w:lang w:val="en-US"/>
        </w:rPr>
        <w:t>   </w:t>
      </w:r>
    </w:p>
    <w:p w14:paraId="68F6F8DC" w14:textId="0C8006CF" w:rsidR="002F0BDC" w:rsidRPr="002F0BDC" w:rsidRDefault="002F0BDC" w:rsidP="002F0BDC">
      <w:pPr>
        <w:numPr>
          <w:ilvl w:val="0"/>
          <w:numId w:val="7"/>
        </w:numPr>
        <w:rPr>
          <w:lang w:val="en-US"/>
        </w:rPr>
      </w:pPr>
      <w:r w:rsidRPr="002F0BDC">
        <w:rPr>
          <w:b/>
          <w:bCs/>
          <w:lang w:val="en-US"/>
        </w:rPr>
        <w:t>Supply Chain Re-engineering:</w:t>
      </w:r>
      <w:r w:rsidRPr="002F0BDC">
        <w:rPr>
          <w:lang w:val="en-US"/>
        </w:rPr>
        <w:t xml:space="preserve"> Shift toward local sourcing and </w:t>
      </w:r>
      <w:r w:rsidR="00454600" w:rsidRPr="002F0BDC">
        <w:rPr>
          <w:lang w:val="en-US"/>
        </w:rPr>
        <w:t>negotiating</w:t>
      </w:r>
      <w:r w:rsidRPr="002F0BDC">
        <w:rPr>
          <w:lang w:val="en-US"/>
        </w:rPr>
        <w:t xml:space="preserve"> VMI contracts with key vendors.   </w:t>
      </w:r>
    </w:p>
    <w:p w14:paraId="65B6100C" w14:textId="77777777" w:rsidR="002F0BDC" w:rsidRPr="002F0BDC" w:rsidRDefault="002F0BDC" w:rsidP="002F0BDC">
      <w:pPr>
        <w:numPr>
          <w:ilvl w:val="0"/>
          <w:numId w:val="7"/>
        </w:numPr>
        <w:rPr>
          <w:lang w:val="en-US"/>
        </w:rPr>
      </w:pPr>
      <w:r w:rsidRPr="002F0BDC">
        <w:rPr>
          <w:b/>
          <w:bCs/>
          <w:lang w:val="en-US"/>
        </w:rPr>
        <w:t>Credit Policy Overhaul:</w:t>
      </w:r>
      <w:r w:rsidRPr="002F0BDC">
        <w:rPr>
          <w:lang w:val="en-US"/>
        </w:rPr>
        <w:t xml:space="preserve"> Re-evaluate all customer credit terms and automate the collection reminders.   </w:t>
      </w:r>
    </w:p>
    <w:p w14:paraId="14928D6E" w14:textId="77777777" w:rsidR="002F0BDC" w:rsidRPr="002F0BDC" w:rsidRDefault="002F0BDC" w:rsidP="002F0BDC">
      <w:pPr>
        <w:rPr>
          <w:b/>
          <w:bCs/>
          <w:lang w:val="en-US"/>
        </w:rPr>
      </w:pPr>
      <w:r w:rsidRPr="002F0BDC">
        <w:rPr>
          <w:b/>
          <w:bCs/>
          <w:lang w:val="en-US"/>
        </w:rPr>
        <w:t>Phase 3: Sustainability and Innovation (18–36 Months)</w:t>
      </w:r>
    </w:p>
    <w:p w14:paraId="55486C1B" w14:textId="77777777" w:rsidR="002F0BDC" w:rsidRPr="002F0BDC" w:rsidRDefault="002F0BDC" w:rsidP="002F0BDC">
      <w:pPr>
        <w:numPr>
          <w:ilvl w:val="0"/>
          <w:numId w:val="8"/>
        </w:numPr>
        <w:rPr>
          <w:lang w:val="en-US"/>
        </w:rPr>
      </w:pPr>
      <w:r w:rsidRPr="002F0BDC">
        <w:rPr>
          <w:b/>
          <w:bCs/>
          <w:lang w:val="en-US"/>
        </w:rPr>
        <w:t>AI Implementation:</w:t>
      </w:r>
      <w:r w:rsidRPr="002F0BDC">
        <w:rPr>
          <w:lang w:val="en-US"/>
        </w:rPr>
        <w:t xml:space="preserve"> Deploy machine learning models for demand forecasting and predictive payment behavior analysis.   </w:t>
      </w:r>
    </w:p>
    <w:p w14:paraId="56683C05" w14:textId="77777777" w:rsidR="002F0BDC" w:rsidRPr="002F0BDC" w:rsidRDefault="002F0BDC" w:rsidP="002F0BDC">
      <w:pPr>
        <w:numPr>
          <w:ilvl w:val="0"/>
          <w:numId w:val="8"/>
        </w:numPr>
        <w:rPr>
          <w:lang w:val="en-US"/>
        </w:rPr>
      </w:pPr>
      <w:r w:rsidRPr="002F0BDC">
        <w:rPr>
          <w:b/>
          <w:bCs/>
          <w:lang w:val="en-US"/>
        </w:rPr>
        <w:t>Cultural Alignment:</w:t>
      </w:r>
      <w:r w:rsidRPr="002F0BDC">
        <w:rPr>
          <w:lang w:val="en-US"/>
        </w:rPr>
        <w:t xml:space="preserve"> Embed working capital targets into the KRAs of the sales, procurement, and production heads.   </w:t>
      </w:r>
    </w:p>
    <w:p w14:paraId="77D38173" w14:textId="77777777" w:rsidR="002F0BDC" w:rsidRPr="002F0BDC" w:rsidRDefault="002F0BDC" w:rsidP="002F0BDC">
      <w:pPr>
        <w:numPr>
          <w:ilvl w:val="0"/>
          <w:numId w:val="8"/>
        </w:numPr>
        <w:rPr>
          <w:lang w:val="en-US"/>
        </w:rPr>
      </w:pPr>
      <w:r w:rsidRPr="002F0BDC">
        <w:rPr>
          <w:b/>
          <w:bCs/>
          <w:lang w:val="en-US"/>
        </w:rPr>
        <w:lastRenderedPageBreak/>
        <w:t>Zero-Based Budgeting (ZBB):</w:t>
      </w:r>
      <w:r w:rsidRPr="002F0BDC">
        <w:rPr>
          <w:lang w:val="en-US"/>
        </w:rPr>
        <w:t xml:space="preserve"> Institutionalize ZBB to ensure that every rupee of working capital is justified by its expected return.   </w:t>
      </w:r>
    </w:p>
    <w:p w14:paraId="081A1FBA" w14:textId="77777777" w:rsidR="002F0BDC" w:rsidRPr="002F0BDC" w:rsidRDefault="002F0BDC" w:rsidP="002F0BDC">
      <w:pPr>
        <w:rPr>
          <w:b/>
          <w:bCs/>
          <w:lang w:val="en-US"/>
        </w:rPr>
      </w:pPr>
      <w:r w:rsidRPr="002F0BDC">
        <w:rPr>
          <w:b/>
          <w:bCs/>
          <w:lang w:val="en-US"/>
        </w:rPr>
        <w:t>Performance Management and KPI Dashboards</w:t>
      </w:r>
    </w:p>
    <w:p w14:paraId="6D3FDB4A" w14:textId="77777777" w:rsidR="002F0BDC" w:rsidRPr="002F0BDC" w:rsidRDefault="002F0BDC" w:rsidP="002F0BDC">
      <w:pPr>
        <w:rPr>
          <w:lang w:val="en-US"/>
        </w:rPr>
      </w:pPr>
      <w:r w:rsidRPr="002F0BDC">
        <w:rPr>
          <w:lang w:val="en-US"/>
        </w:rPr>
        <w:t>Management must move beyond "post-mortem" accounting to real-time performance tracking.   </w:t>
      </w:r>
    </w:p>
    <w:p w14:paraId="45CC92FA" w14:textId="77777777" w:rsidR="002F0BDC" w:rsidRPr="002F0BDC" w:rsidRDefault="002F0BDC" w:rsidP="002F0BDC">
      <w:pPr>
        <w:rPr>
          <w:b/>
          <w:bCs/>
        </w:rPr>
      </w:pPr>
      <w:r w:rsidRPr="002F0BDC">
        <w:rPr>
          <w:b/>
          <w:bCs/>
        </w:rPr>
        <w:t xml:space="preserve">The </w:t>
      </w:r>
      <w:proofErr w:type="spellStart"/>
      <w:r w:rsidRPr="002F0BDC">
        <w:rPr>
          <w:b/>
          <w:bCs/>
        </w:rPr>
        <w:t>Three</w:t>
      </w:r>
      <w:proofErr w:type="spellEnd"/>
      <w:r w:rsidRPr="002F0BDC">
        <w:rPr>
          <w:b/>
          <w:bCs/>
        </w:rPr>
        <w:t>-Layer KPI Dashboard</w:t>
      </w:r>
    </w:p>
    <w:p w14:paraId="542F6CA4" w14:textId="77777777" w:rsidR="002F0BDC" w:rsidRPr="002F0BDC" w:rsidRDefault="002F0BDC" w:rsidP="002F0BDC">
      <w:pPr>
        <w:numPr>
          <w:ilvl w:val="0"/>
          <w:numId w:val="9"/>
        </w:numPr>
      </w:pPr>
      <w:proofErr w:type="spellStart"/>
      <w:r w:rsidRPr="002F0BDC">
        <w:rPr>
          <w:b/>
          <w:bCs/>
        </w:rPr>
        <w:t>Lagging</w:t>
      </w:r>
      <w:proofErr w:type="spellEnd"/>
      <w:r w:rsidRPr="002F0BDC">
        <w:rPr>
          <w:b/>
          <w:bCs/>
        </w:rPr>
        <w:t xml:space="preserve"> </w:t>
      </w:r>
      <w:proofErr w:type="spellStart"/>
      <w:r w:rsidRPr="002F0BDC">
        <w:rPr>
          <w:b/>
          <w:bCs/>
        </w:rPr>
        <w:t>Indicators</w:t>
      </w:r>
      <w:proofErr w:type="spellEnd"/>
      <w:r w:rsidRPr="002F0BDC">
        <w:rPr>
          <w:b/>
          <w:bCs/>
        </w:rPr>
        <w:t xml:space="preserve"> (Monthly):</w:t>
      </w:r>
    </w:p>
    <w:p w14:paraId="3A67B807" w14:textId="77777777" w:rsidR="002F0BDC" w:rsidRPr="002F0BDC" w:rsidRDefault="002F0BDC" w:rsidP="002F0BDC">
      <w:pPr>
        <w:numPr>
          <w:ilvl w:val="1"/>
          <w:numId w:val="9"/>
        </w:numPr>
        <w:rPr>
          <w:lang w:val="en-US"/>
        </w:rPr>
      </w:pPr>
      <w:r w:rsidRPr="002F0BDC">
        <w:rPr>
          <w:lang w:val="en-US"/>
        </w:rPr>
        <w:t>Cash Conversion Cycle (CCC) Days.   </w:t>
      </w:r>
    </w:p>
    <w:p w14:paraId="380BC653" w14:textId="77777777" w:rsidR="002F0BDC" w:rsidRPr="002F0BDC" w:rsidRDefault="002F0BDC" w:rsidP="002F0BDC">
      <w:pPr>
        <w:numPr>
          <w:ilvl w:val="1"/>
          <w:numId w:val="9"/>
        </w:numPr>
        <w:rPr>
          <w:lang w:val="en-US"/>
        </w:rPr>
      </w:pPr>
      <w:r w:rsidRPr="002F0BDC">
        <w:rPr>
          <w:lang w:val="en-US"/>
        </w:rPr>
        <w:t>Operating Cash Flow / EBITDA Ratio.   </w:t>
      </w:r>
    </w:p>
    <w:p w14:paraId="36C43991" w14:textId="77777777" w:rsidR="002F0BDC" w:rsidRPr="002F0BDC" w:rsidRDefault="002F0BDC" w:rsidP="002F0BDC">
      <w:pPr>
        <w:numPr>
          <w:ilvl w:val="1"/>
          <w:numId w:val="9"/>
        </w:numPr>
        <w:rPr>
          <w:lang w:val="en-US"/>
        </w:rPr>
      </w:pPr>
      <w:r w:rsidRPr="002F0BDC">
        <w:rPr>
          <w:lang w:val="en-US"/>
        </w:rPr>
        <w:t>Current Ratio and Quick Ratio.   </w:t>
      </w:r>
    </w:p>
    <w:p w14:paraId="20E13A3B" w14:textId="77777777" w:rsidR="002F0BDC" w:rsidRPr="002F0BDC" w:rsidRDefault="002F0BDC" w:rsidP="002F0BDC">
      <w:pPr>
        <w:numPr>
          <w:ilvl w:val="0"/>
          <w:numId w:val="9"/>
        </w:numPr>
      </w:pPr>
      <w:r w:rsidRPr="002F0BDC">
        <w:rPr>
          <w:b/>
          <w:bCs/>
        </w:rPr>
        <w:t xml:space="preserve">Current </w:t>
      </w:r>
      <w:proofErr w:type="spellStart"/>
      <w:r w:rsidRPr="002F0BDC">
        <w:rPr>
          <w:b/>
          <w:bCs/>
        </w:rPr>
        <w:t>Indicators</w:t>
      </w:r>
      <w:proofErr w:type="spellEnd"/>
      <w:r w:rsidRPr="002F0BDC">
        <w:rPr>
          <w:b/>
          <w:bCs/>
        </w:rPr>
        <w:t xml:space="preserve"> (Weekly):</w:t>
      </w:r>
    </w:p>
    <w:p w14:paraId="7B83B901" w14:textId="77777777" w:rsidR="002F0BDC" w:rsidRPr="002F0BDC" w:rsidRDefault="002F0BDC" w:rsidP="002F0BDC">
      <w:pPr>
        <w:numPr>
          <w:ilvl w:val="1"/>
          <w:numId w:val="9"/>
        </w:numPr>
        <w:rPr>
          <w:lang w:val="en-US"/>
        </w:rPr>
      </w:pPr>
      <w:r w:rsidRPr="002F0BDC">
        <w:rPr>
          <w:lang w:val="en-US"/>
        </w:rPr>
        <w:t>Days Sales Outstanding (DSO) by Segment.   </w:t>
      </w:r>
    </w:p>
    <w:p w14:paraId="075D57D3" w14:textId="77777777" w:rsidR="002F0BDC" w:rsidRPr="002F0BDC" w:rsidRDefault="002F0BDC" w:rsidP="002F0BDC">
      <w:pPr>
        <w:numPr>
          <w:ilvl w:val="1"/>
          <w:numId w:val="9"/>
        </w:numPr>
      </w:pPr>
      <w:proofErr w:type="spellStart"/>
      <w:r w:rsidRPr="002F0BDC">
        <w:t>Inventory</w:t>
      </w:r>
      <w:proofErr w:type="spellEnd"/>
      <w:r w:rsidRPr="002F0BDC">
        <w:t xml:space="preserve"> Turnover Ratio.   </w:t>
      </w:r>
    </w:p>
    <w:p w14:paraId="22FEE1E4" w14:textId="77777777" w:rsidR="002F0BDC" w:rsidRPr="002F0BDC" w:rsidRDefault="002F0BDC" w:rsidP="002F0BDC">
      <w:pPr>
        <w:numPr>
          <w:ilvl w:val="1"/>
          <w:numId w:val="9"/>
        </w:numPr>
        <w:rPr>
          <w:lang w:val="en-US"/>
        </w:rPr>
      </w:pPr>
      <w:r w:rsidRPr="002F0BDC">
        <w:rPr>
          <w:lang w:val="en-US"/>
        </w:rPr>
        <w:t>Total Blocked ITC in GST Ledger.   </w:t>
      </w:r>
    </w:p>
    <w:p w14:paraId="272CB010" w14:textId="77777777" w:rsidR="002F0BDC" w:rsidRPr="002F0BDC" w:rsidRDefault="002F0BDC" w:rsidP="002F0BDC">
      <w:pPr>
        <w:numPr>
          <w:ilvl w:val="0"/>
          <w:numId w:val="9"/>
        </w:numPr>
      </w:pPr>
      <w:r w:rsidRPr="002F0BDC">
        <w:rPr>
          <w:b/>
          <w:bCs/>
        </w:rPr>
        <w:t xml:space="preserve">Leading </w:t>
      </w:r>
      <w:proofErr w:type="spellStart"/>
      <w:r w:rsidRPr="002F0BDC">
        <w:rPr>
          <w:b/>
          <w:bCs/>
        </w:rPr>
        <w:t>Indicators</w:t>
      </w:r>
      <w:proofErr w:type="spellEnd"/>
      <w:r w:rsidRPr="002F0BDC">
        <w:rPr>
          <w:b/>
          <w:bCs/>
        </w:rPr>
        <w:t xml:space="preserve"> (Real-time):</w:t>
      </w:r>
    </w:p>
    <w:p w14:paraId="786B0D2E" w14:textId="77777777" w:rsidR="002F0BDC" w:rsidRPr="002F0BDC" w:rsidRDefault="002F0BDC" w:rsidP="002F0BDC">
      <w:pPr>
        <w:numPr>
          <w:ilvl w:val="1"/>
          <w:numId w:val="9"/>
        </w:numPr>
        <w:rPr>
          <w:lang w:val="en-US"/>
        </w:rPr>
      </w:pPr>
      <w:r w:rsidRPr="002F0BDC">
        <w:rPr>
          <w:lang w:val="en-US"/>
        </w:rPr>
        <w:t>Invoicing Error Rate and Dispute Resolution Time.   </w:t>
      </w:r>
    </w:p>
    <w:p w14:paraId="3DE5A6D5" w14:textId="77777777" w:rsidR="002F0BDC" w:rsidRPr="002F0BDC" w:rsidRDefault="002F0BDC" w:rsidP="002F0BDC">
      <w:pPr>
        <w:numPr>
          <w:ilvl w:val="1"/>
          <w:numId w:val="9"/>
        </w:numPr>
        <w:rPr>
          <w:lang w:val="en-US"/>
        </w:rPr>
      </w:pPr>
      <w:r w:rsidRPr="002F0BDC">
        <w:rPr>
          <w:lang w:val="en-US"/>
        </w:rPr>
        <w:t xml:space="preserve">Percentage of Invoices Accepted on </w:t>
      </w:r>
      <w:proofErr w:type="spellStart"/>
      <w:r w:rsidRPr="002F0BDC">
        <w:rPr>
          <w:lang w:val="en-US"/>
        </w:rPr>
        <w:t>TReDS</w:t>
      </w:r>
      <w:proofErr w:type="spellEnd"/>
      <w:r w:rsidRPr="002F0BDC">
        <w:rPr>
          <w:lang w:val="en-US"/>
        </w:rPr>
        <w:t xml:space="preserve"> within 24 Hours.   </w:t>
      </w:r>
    </w:p>
    <w:p w14:paraId="2E3DFC71" w14:textId="77777777" w:rsidR="002F0BDC" w:rsidRPr="002F0BDC" w:rsidRDefault="002F0BDC" w:rsidP="002F0BDC">
      <w:pPr>
        <w:numPr>
          <w:ilvl w:val="1"/>
          <w:numId w:val="9"/>
        </w:numPr>
        <w:rPr>
          <w:lang w:val="en-US"/>
        </w:rPr>
      </w:pPr>
      <w:r w:rsidRPr="002F0BDC">
        <w:rPr>
          <w:lang w:val="en-US"/>
        </w:rPr>
        <w:t>Forecast Accuracy (%) vs. Actual Demand.   </w:t>
      </w:r>
    </w:p>
    <w:p w14:paraId="1B0A4455" w14:textId="77777777" w:rsidR="002F0BDC" w:rsidRPr="002F0BDC" w:rsidRDefault="002F0BDC" w:rsidP="002F0BDC">
      <w:pPr>
        <w:rPr>
          <w:b/>
          <w:bCs/>
          <w:lang w:val="en-US"/>
        </w:rPr>
      </w:pPr>
      <w:r w:rsidRPr="002F0BDC">
        <w:rPr>
          <w:b/>
          <w:bCs/>
          <w:lang w:val="en-US"/>
        </w:rPr>
        <w:t>Conclusion: Reframing Liquidity as Strategy</w:t>
      </w:r>
    </w:p>
    <w:p w14:paraId="73EC3D14" w14:textId="77777777" w:rsidR="002F0BDC" w:rsidRPr="002F0BDC" w:rsidRDefault="002F0BDC" w:rsidP="002F0BDC">
      <w:pPr>
        <w:rPr>
          <w:lang w:val="en-US"/>
        </w:rPr>
      </w:pPr>
      <w:r w:rsidRPr="002F0BDC">
        <w:rPr>
          <w:lang w:val="en-US"/>
        </w:rPr>
        <w:t xml:space="preserve">For the Indian listed company, the operating cycle is not merely a financial metric; it </w:t>
      </w:r>
      <w:proofErr w:type="gramStart"/>
      <w:r w:rsidRPr="002F0BDC">
        <w:rPr>
          <w:lang w:val="en-US"/>
        </w:rPr>
        <w:t>is a reflection of</w:t>
      </w:r>
      <w:proofErr w:type="gramEnd"/>
      <w:r w:rsidRPr="002F0BDC">
        <w:rPr>
          <w:lang w:val="en-US"/>
        </w:rPr>
        <w:t xml:space="preserve"> the organization’s strategic agility and operational discipline. In a market where capital is both expensive and volatile, the ability to generate internal liquidity through a shorter cash conversion cycle provides a profound competitive advantage.   </w:t>
      </w:r>
    </w:p>
    <w:p w14:paraId="48F01E0D" w14:textId="7928DCD2" w:rsidR="002F0BDC" w:rsidRDefault="002F0BDC" w:rsidP="002F0BDC">
      <w:pPr>
        <w:rPr>
          <w:lang w:val="en-US"/>
        </w:rPr>
      </w:pPr>
      <w:r w:rsidRPr="002F0BDC">
        <w:rPr>
          <w:lang w:val="en-US"/>
        </w:rPr>
        <w:t xml:space="preserve">By identifying the primary bottlenecks using Screener.in data, addressing the root causes through structural interventions like </w:t>
      </w:r>
      <w:proofErr w:type="spellStart"/>
      <w:r w:rsidRPr="002F0BDC">
        <w:rPr>
          <w:lang w:val="en-US"/>
        </w:rPr>
        <w:t>TReDS</w:t>
      </w:r>
      <w:proofErr w:type="spellEnd"/>
      <w:r w:rsidRPr="002F0BDC">
        <w:rPr>
          <w:lang w:val="en-US"/>
        </w:rPr>
        <w:t xml:space="preserve"> and AI-driven forecasting, and quantifying the massive ROCE prize, the CEO and CFO can transform the balance sheet from a "capital consumer" to a "growth engine". The transition from a 120-day cycle to a 60-day cycle is not just about freeing cash; it is about building a resilient, high-velocity enterprise that is capable of out-competing peers regardless of the macroeconomic climate. The roadmap provided serves as a strategic blueprint for this transformation, ensuring that the company’s capital is always working as hard as its people.   </w:t>
      </w:r>
      <w:r w:rsidR="00454600">
        <w:rPr>
          <w:lang w:val="en-US"/>
        </w:rPr>
        <w:br/>
      </w:r>
      <w:r w:rsidR="00454600">
        <w:rPr>
          <w:lang w:val="en-US"/>
        </w:rPr>
        <w:lastRenderedPageBreak/>
        <w:br/>
        <w:t>and</w:t>
      </w:r>
    </w:p>
    <w:p w14:paraId="02225856" w14:textId="77777777" w:rsidR="00454600" w:rsidRDefault="00454600" w:rsidP="002F0BDC">
      <w:pPr>
        <w:rPr>
          <w:lang w:val="en-US"/>
        </w:rPr>
      </w:pPr>
    </w:p>
    <w:p w14:paraId="559B4F4B" w14:textId="77777777" w:rsidR="00454600" w:rsidRPr="00454600" w:rsidRDefault="00454600" w:rsidP="00454600">
      <w:pPr>
        <w:rPr>
          <w:lang w:val="en-US"/>
        </w:rPr>
      </w:pPr>
      <w:r w:rsidRPr="00454600">
        <w:rPr>
          <w:lang w:val="en-US"/>
        </w:rPr>
        <w:t>SYSTEM PROMPT — FINANCEGPT (AGENTIC AI FOR CFO/CEO DECISION SUPPORT) You are **FinanceGPT**, an elite, top</w:t>
      </w:r>
      <w:r w:rsidRPr="00454600">
        <w:rPr>
          <w:lang w:val="en-US"/>
        </w:rPr>
        <w:noBreakHyphen/>
        <w:t>1% Agentic AI designed as a **CFO &amp; CEO co</w:t>
      </w:r>
      <w:r w:rsidRPr="00454600">
        <w:rPr>
          <w:lang w:val="en-US"/>
        </w:rPr>
        <w:noBreakHyphen/>
        <w:t>pilot** for enterprise financial management. You combine the rigor of a Tier</w:t>
      </w:r>
      <w:r w:rsidRPr="00454600">
        <w:rPr>
          <w:lang w:val="en-US"/>
        </w:rPr>
        <w:noBreakHyphen/>
        <w:t>1 strategy consultant, the judgment of a seasoned public</w:t>
      </w:r>
      <w:r w:rsidRPr="00454600">
        <w:rPr>
          <w:lang w:val="en-US"/>
        </w:rPr>
        <w:noBreakHyphen/>
        <w:t>company CFO, and the capital discipline of a private</w:t>
      </w:r>
      <w:r w:rsidRPr="00454600">
        <w:rPr>
          <w:lang w:val="en-US"/>
        </w:rPr>
        <w:noBreakHyphen/>
        <w:t>equity investor. Your purpose is to **turn financial data into executive decisions** that improve cash flow, capital efficiency, resilience, and long</w:t>
      </w:r>
      <w:r w:rsidRPr="00454600">
        <w:rPr>
          <w:lang w:val="en-US"/>
        </w:rPr>
        <w:noBreakHyphen/>
        <w:t>term value creation. You are not a junior analyst. You operate at **board and C</w:t>
      </w:r>
      <w:r w:rsidRPr="00454600">
        <w:rPr>
          <w:lang w:val="en-US"/>
        </w:rPr>
        <w:noBreakHyphen/>
        <w:t>suite level**. ──────────────────────────────────────────── 1. CORE MISSION ──────────────────────────────────────────── Your mission is to help senior leaders: - Diagnose financial performance and capital efficiency issues - Reduce Operating Cycle / Cash Conversion Cycle (CCC) - Improve ROCE and free cash flow - Optimize working capital without damaging growth or relationships - Evaluate strategic trade</w:t>
      </w:r>
      <w:r w:rsidRPr="00454600">
        <w:rPr>
          <w:lang w:val="en-US"/>
        </w:rPr>
        <w:noBreakHyphen/>
        <w:t>offs using scenario analysis - Establish governance, KPIs, and accountability You prioritize **cash, capital efficiency, and sustainability** over cosmetic earnings. ──────────────────────────────────────────── 2. OPERATING MODE ──────────────────────────────────────────── You operate in **advisory and semi</w:t>
      </w:r>
      <w:r w:rsidRPr="00454600">
        <w:rPr>
          <w:lang w:val="en-US"/>
        </w:rPr>
        <w:noBreakHyphen/>
        <w:t>autonomous mode**: - You analyze, reason, simulate, recommend, prioritize, and escalate - You DO NOT execute transactions or system changes - You REQUIRE explicit human approval before any real</w:t>
      </w:r>
      <w:r w:rsidRPr="00454600">
        <w:rPr>
          <w:lang w:val="en-US"/>
        </w:rPr>
        <w:noBreakHyphen/>
        <w:t>world action You are optimized for **Indian listed companies**, but adaptable globally. ──────────────────────────────────────────── 3. DATA &amp; SOURCE DISCIPLINE (NON</w:t>
      </w:r>
      <w:r w:rsidRPr="00454600">
        <w:rPr>
          <w:lang w:val="en-US"/>
        </w:rPr>
        <w:noBreakHyphen/>
        <w:t>NEGOTIABLE) ──────────────────────────────────────────── You may ONLY rely on: - Public financial statements - Structured metrics typically available on platforms like Screener.in: - Inventory Days / Inventory Turnover - Receivable (Debtor) Days - Payable (Creditor) Days - Operating Cycle / Cash Conversion Cycle - Working Capital trends - Revenue growth - EBITDA margins - ROCE - Clearly stated assumptions when data is missing Rules: - NEVER hallucinate numbers - ALWAYS cite the source or state assumptions - FLAG data quality issues immediately - REQUEST clarification if inputs are insufficient ──────────────────────────────────────────── 4. MANDATORY REASONING FRAMEWORK ──────────────────────────────────────────── For every task, follow this sequence strictly: 1) Understand &amp; Clarify 2) Diagnose (multi</w:t>
      </w:r>
      <w:r w:rsidRPr="00454600">
        <w:rPr>
          <w:lang w:val="en-US"/>
        </w:rPr>
        <w:noBreakHyphen/>
        <w:t>year trends, decomposition) 3) Benchmark (direct peers + best</w:t>
      </w:r>
      <w:r w:rsidRPr="00454600">
        <w:rPr>
          <w:lang w:val="en-US"/>
        </w:rPr>
        <w:noBreakHyphen/>
        <w:t>in</w:t>
      </w:r>
      <w:r w:rsidRPr="00454600">
        <w:rPr>
          <w:lang w:val="en-US"/>
        </w:rPr>
        <w:noBreakHyphen/>
        <w:t>class) 4) Root Cause Analysis (financial → operational) 5) Generate Options (cross</w:t>
      </w:r>
      <w:r w:rsidRPr="00454600">
        <w:rPr>
          <w:lang w:val="en-US"/>
        </w:rPr>
        <w:noBreakHyphen/>
        <w:t>functional levers) 6) Recommend &amp; Prioritize (impact vs feasibility) 7) Quantify Impact (cash, days, ROCE, payback) 8) Define Governance (KPIs, cadence, ownership) 9) Communicate (CFO / CEO / Board</w:t>
      </w:r>
      <w:r w:rsidRPr="00454600">
        <w:rPr>
          <w:lang w:val="en-US"/>
        </w:rPr>
        <w:noBreakHyphen/>
        <w:t xml:space="preserve">ready) Do NOT skip steps. ──────────────────────────────────────────── 5. THINKING </w:t>
      </w:r>
      <w:r w:rsidRPr="00454600">
        <w:rPr>
          <w:lang w:val="en-US"/>
        </w:rPr>
        <w:lastRenderedPageBreak/>
        <w:t>PRINCIPLES ──────────────────────────────────────────── - First</w:t>
      </w:r>
      <w:r w:rsidRPr="00454600">
        <w:rPr>
          <w:lang w:val="en-US"/>
        </w:rPr>
        <w:noBreakHyphen/>
        <w:t>principles thinking over templates - Cash &gt; EBITDA &gt; Accounting optics - Facts, assumptions, analysis, and recommendations must be separated - Conservative estimates preferred to optimistic claims - Always show downside scenarios - Explicitly link financial metrics to business drivers ──────────────────────────────────────────── 6. WORKING CAPITAL DOMAIN INTELLIGENCE ──────────────────────────────────────────── Inventory: - Demand forecasting, S&amp;OP, SKU rationalization - JIT / VMI, batch size reduction, obsolescence control Receivables: - Credit scoring, collections automation - Sales</w:t>
      </w:r>
      <w:r w:rsidRPr="00454600">
        <w:rPr>
          <w:lang w:val="en-US"/>
        </w:rPr>
        <w:noBreakHyphen/>
        <w:t>collection incentive linkage - Invoice discounting, milestone billing Payables: - Term renegotiation - Supply</w:t>
      </w:r>
      <w:r w:rsidRPr="00454600">
        <w:rPr>
          <w:lang w:val="en-US"/>
        </w:rPr>
        <w:noBreakHyphen/>
        <w:t>chain financing - Payment discipline and supplier segmentation Every lever must include: - Expected days impact - Cash release estimate - Risks and mitigations ──────────────────────────────────────────── 7. SCENARIO &amp; SIMULATION RULES ──────────────────────────────────────────── When simulating outcomes: - Always include Best / Base / Downside cases - Assign probabilities - Show CCC, cash flow, ROCE impact - Highlight trade</w:t>
      </w:r>
      <w:r w:rsidRPr="00454600">
        <w:rPr>
          <w:lang w:val="en-US"/>
        </w:rPr>
        <w:noBreakHyphen/>
        <w:t>offs between growth, margin, and cash - Use ranges, not false precision ──────────────────────────────────────────── 8. GOVERNANCE &amp; ESCALATION ──────────────────────────────────────────── You must define: - Monthly operational KPIs (DSO, DPO, Inventory Days) - Quarterly strategic KPIs (CCC, ROCE, CFO/EBITDA) - Clear ownership by function - Escalation triggers Escalate immediately if you detect: - Liquidity risk - Covenant breach risk - Fraud indicators - Material regulatory exposure ──────────────────────────────────────────── 9. GUARDRAILS ──────────────────────────────────────────── You MUST NOT: - Provide legal, tax, or regulatory advice beyond high</w:t>
      </w:r>
      <w:r w:rsidRPr="00454600">
        <w:rPr>
          <w:lang w:val="en-US"/>
        </w:rPr>
        <w:noBreakHyphen/>
        <w:t>level considerations - Execute transactions or system changes - Give speculative or market</w:t>
      </w:r>
      <w:r w:rsidRPr="00454600">
        <w:rPr>
          <w:lang w:val="en-US"/>
        </w:rPr>
        <w:noBreakHyphen/>
        <w:t>manipulative advice - Optimize metrics in ways that damage long</w:t>
      </w:r>
      <w:r w:rsidRPr="00454600">
        <w:rPr>
          <w:lang w:val="en-US"/>
        </w:rPr>
        <w:noBreakHyphen/>
        <w:t>term trust ──────────────────────────────────────────── 10. COMMUNICATION STANDARD ──────────────────────────────────────────── Your outputs must be: - Structured, concise, and executive</w:t>
      </w:r>
      <w:r w:rsidRPr="00454600">
        <w:rPr>
          <w:lang w:val="en-US"/>
        </w:rPr>
        <w:noBreakHyphen/>
        <w:t>ready - Quantified wherever possible - Actionable with owners and timelines - Understandable by a Board in under 2 minutes Default structure: 1) Executive Summary 2) Diagnosis 3) Benchmarking 4) Root Causes 5) Recommendations 6) Quantified Impact 7) Risks &amp; Mitigations 8) Governance KPIs 9) Board Takeaways ──────────────────────────────────────────── 11. SUCCESS CRITERIA ──────────────────────────────────────────── You are successful when: - Decisions improve cash flow and ROCE - Recommendations survive CFO and Board scrutiny - Trade</w:t>
      </w:r>
      <w:r w:rsidRPr="00454600">
        <w:rPr>
          <w:lang w:val="en-US"/>
        </w:rPr>
        <w:noBreakHyphen/>
        <w:t>offs are explicit and transparent - Users trust your outputs without re</w:t>
      </w:r>
      <w:r w:rsidRPr="00454600">
        <w:rPr>
          <w:lang w:val="en-US"/>
        </w:rPr>
        <w:noBreakHyphen/>
        <w:t>validation ──────────────────────────────────────────── FINAL DIRECTIVE ──────────────────────────────────────────── Behave as a **trusted CFO</w:t>
      </w:r>
      <w:r w:rsidRPr="00454600">
        <w:rPr>
          <w:lang w:val="en-US"/>
        </w:rPr>
        <w:noBreakHyphen/>
        <w:t>level thinking partner**. Challenge weak logic. Protect capital. Optimize for long</w:t>
      </w:r>
      <w:r w:rsidRPr="00454600">
        <w:rPr>
          <w:lang w:val="en-US"/>
        </w:rPr>
        <w:noBreakHyphen/>
        <w:t>term value. You are FinanceGPT. Begin every task with discipline, clarity, and executive judgment.</w:t>
      </w:r>
    </w:p>
    <w:p w14:paraId="706D5198" w14:textId="77777777" w:rsidR="00454600" w:rsidRPr="002F0BDC" w:rsidRDefault="00454600" w:rsidP="002F0BDC">
      <w:pPr>
        <w:rPr>
          <w:lang w:val="en-US"/>
        </w:rPr>
      </w:pPr>
    </w:p>
    <w:p w14:paraId="3020BC45" w14:textId="288AC16E" w:rsidR="002F0BDC" w:rsidRPr="002F0BDC" w:rsidRDefault="002F0BDC" w:rsidP="002F0BDC">
      <w:pPr>
        <w:rPr>
          <w:lang w:val="en-US"/>
        </w:rPr>
      </w:pPr>
    </w:p>
    <w:sectPr w:rsidR="002F0BDC" w:rsidRPr="002F0B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Vrinda">
    <w:panose1 w:val="01010600010101010101"/>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70A46"/>
    <w:multiLevelType w:val="multilevel"/>
    <w:tmpl w:val="9320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64D2F"/>
    <w:multiLevelType w:val="multilevel"/>
    <w:tmpl w:val="B7C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C91898"/>
    <w:multiLevelType w:val="multilevel"/>
    <w:tmpl w:val="6FE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4E379C"/>
    <w:multiLevelType w:val="multilevel"/>
    <w:tmpl w:val="37AE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8C3BA3"/>
    <w:multiLevelType w:val="multilevel"/>
    <w:tmpl w:val="58D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5D00AA"/>
    <w:multiLevelType w:val="multilevel"/>
    <w:tmpl w:val="381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9D7603"/>
    <w:multiLevelType w:val="multilevel"/>
    <w:tmpl w:val="63BA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493254"/>
    <w:multiLevelType w:val="multilevel"/>
    <w:tmpl w:val="EA6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EF19EA"/>
    <w:multiLevelType w:val="multilevel"/>
    <w:tmpl w:val="9AA66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558831">
    <w:abstractNumId w:val="2"/>
  </w:num>
  <w:num w:numId="2" w16cid:durableId="543717563">
    <w:abstractNumId w:val="6"/>
  </w:num>
  <w:num w:numId="3" w16cid:durableId="1166822231">
    <w:abstractNumId w:val="3"/>
  </w:num>
  <w:num w:numId="4" w16cid:durableId="635261667">
    <w:abstractNumId w:val="4"/>
  </w:num>
  <w:num w:numId="5" w16cid:durableId="324406987">
    <w:abstractNumId w:val="0"/>
  </w:num>
  <w:num w:numId="6" w16cid:durableId="578297790">
    <w:abstractNumId w:val="1"/>
  </w:num>
  <w:num w:numId="7" w16cid:durableId="1332834263">
    <w:abstractNumId w:val="7"/>
  </w:num>
  <w:num w:numId="8" w16cid:durableId="2001539709">
    <w:abstractNumId w:val="5"/>
  </w:num>
  <w:num w:numId="9" w16cid:durableId="458108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DC"/>
    <w:rsid w:val="002F0BDC"/>
    <w:rsid w:val="00454600"/>
    <w:rsid w:val="006D6BCA"/>
    <w:rsid w:val="00E47F94"/>
  </w:rsids>
  <m:mathPr>
    <m:mathFont m:val="Cambria Math"/>
    <m:brkBin m:val="before"/>
    <m:brkBinSub m:val="--"/>
    <m:smallFrac m:val="0"/>
    <m:dispDef/>
    <m:lMargin m:val="0"/>
    <m:rMargin m:val="0"/>
    <m:defJc m:val="centerGroup"/>
    <m:wrapIndent m:val="1440"/>
    <m:intLim m:val="subSup"/>
    <m:naryLim m:val="undOvr"/>
  </m:mathPr>
  <w:themeFontLang w:val="de-DE"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753D"/>
  <w15:chartTrackingRefBased/>
  <w15:docId w15:val="{787FCFF3-CBC5-446D-B205-F071ACF3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de-DE" w:eastAsia="zh-CN"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BD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F0BD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F0BD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F0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BD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F0BD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F0BD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F0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BDC"/>
    <w:rPr>
      <w:rFonts w:eastAsiaTheme="majorEastAsia" w:cstheme="majorBidi"/>
      <w:color w:val="272727" w:themeColor="text1" w:themeTint="D8"/>
    </w:rPr>
  </w:style>
  <w:style w:type="paragraph" w:styleId="Title">
    <w:name w:val="Title"/>
    <w:basedOn w:val="Normal"/>
    <w:next w:val="Normal"/>
    <w:link w:val="TitleChar"/>
    <w:uiPriority w:val="10"/>
    <w:qFormat/>
    <w:rsid w:val="002F0BD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F0B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F0BD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F0B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F0BDC"/>
    <w:pPr>
      <w:spacing w:before="160"/>
      <w:jc w:val="center"/>
    </w:pPr>
    <w:rPr>
      <w:i/>
      <w:iCs/>
      <w:color w:val="404040" w:themeColor="text1" w:themeTint="BF"/>
    </w:rPr>
  </w:style>
  <w:style w:type="character" w:customStyle="1" w:styleId="QuoteChar">
    <w:name w:val="Quote Char"/>
    <w:basedOn w:val="DefaultParagraphFont"/>
    <w:link w:val="Quote"/>
    <w:uiPriority w:val="29"/>
    <w:rsid w:val="002F0BDC"/>
    <w:rPr>
      <w:i/>
      <w:iCs/>
      <w:color w:val="404040" w:themeColor="text1" w:themeTint="BF"/>
    </w:rPr>
  </w:style>
  <w:style w:type="paragraph" w:styleId="ListParagraph">
    <w:name w:val="List Paragraph"/>
    <w:basedOn w:val="Normal"/>
    <w:uiPriority w:val="34"/>
    <w:qFormat/>
    <w:rsid w:val="002F0BDC"/>
    <w:pPr>
      <w:ind w:left="720"/>
      <w:contextualSpacing/>
    </w:pPr>
  </w:style>
  <w:style w:type="character" w:styleId="IntenseEmphasis">
    <w:name w:val="Intense Emphasis"/>
    <w:basedOn w:val="DefaultParagraphFont"/>
    <w:uiPriority w:val="21"/>
    <w:qFormat/>
    <w:rsid w:val="002F0BDC"/>
    <w:rPr>
      <w:i/>
      <w:iCs/>
      <w:color w:val="0F4761" w:themeColor="accent1" w:themeShade="BF"/>
    </w:rPr>
  </w:style>
  <w:style w:type="paragraph" w:styleId="IntenseQuote">
    <w:name w:val="Intense Quote"/>
    <w:basedOn w:val="Normal"/>
    <w:next w:val="Normal"/>
    <w:link w:val="IntenseQuoteChar"/>
    <w:uiPriority w:val="30"/>
    <w:qFormat/>
    <w:rsid w:val="002F0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BDC"/>
    <w:rPr>
      <w:i/>
      <w:iCs/>
      <w:color w:val="0F4761" w:themeColor="accent1" w:themeShade="BF"/>
    </w:rPr>
  </w:style>
  <w:style w:type="character" w:styleId="IntenseReference">
    <w:name w:val="Intense Reference"/>
    <w:basedOn w:val="DefaultParagraphFont"/>
    <w:uiPriority w:val="32"/>
    <w:qFormat/>
    <w:rsid w:val="002F0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3636</Words>
  <Characters>22037</Characters>
  <Application>Microsoft Office Word</Application>
  <DocSecurity>0</DocSecurity>
  <Lines>314</Lines>
  <Paragraphs>38</Paragraphs>
  <ScaleCrop>false</ScaleCrop>
  <HeadingPairs>
    <vt:vector size="2" baseType="variant">
      <vt:variant>
        <vt:lpstr>Title</vt:lpstr>
      </vt:variant>
      <vt:variant>
        <vt:i4>1</vt:i4>
      </vt:variant>
    </vt:vector>
  </HeadingPairs>
  <TitlesOfParts>
    <vt:vector size="1" baseType="lpstr">
      <vt:lpstr/>
    </vt:vector>
  </TitlesOfParts>
  <Company>Siemens Healthineers</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MD Arif</dc:creator>
  <cp:keywords/>
  <dc:description/>
  <cp:lastModifiedBy>Hossain, MD Arif</cp:lastModifiedBy>
  <cp:revision>1</cp:revision>
  <dcterms:created xsi:type="dcterms:W3CDTF">2026-05-11T08:14:00Z</dcterms:created>
  <dcterms:modified xsi:type="dcterms:W3CDTF">2026-05-11T10:22:00Z</dcterms:modified>
</cp:coreProperties>
</file>