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4E42C08"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380E021A" w14:textId="77777777" w:rsidR="00C642C9" w:rsidRDefault="009B1C7C" w:rsidP="00F71450">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xml:space="preserve">) are often employed to simplify interpretation of multidimensional data by collapsing correlated measured variables into fewer dimensions or latent variables. </w:t>
      </w:r>
      <w:r w:rsidR="00F71450">
        <w:t xml:space="preserve">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w:t>
      </w:r>
      <w:r>
        <w:t xml:space="preserve"> </w:t>
      </w:r>
    </w:p>
    <w:p w14:paraId="3101851A" w14:textId="2F176A0C" w:rsidR="00C642C9" w:rsidRDefault="009B1C7C" w:rsidP="00F71450">
      <w:pPr>
        <w:pStyle w:val="FirstParagraph"/>
        <w:spacing w:line="360" w:lineRule="auto"/>
      </w:pPr>
      <w:r>
        <w:t xml:space="preserve">Supervised multivariate analyses, on the other hand, </w:t>
      </w:r>
      <w:r w:rsidR="00F71450">
        <w:t>take dependent variables into account and test how response variables co-vary with one or more dependent variables</w:t>
      </w:r>
      <w:r>
        <w:t xml:space="preserve">. </w:t>
      </w:r>
      <w:r w:rsidR="00F71450">
        <w:t xml:space="preserve">Using a supervised technique answers a fundamentally different question than carrying out hypothesis tests on latent variables created by unsupervised techniques. When using a supervised </w:t>
      </w:r>
      <w:r w:rsidR="00C642C9">
        <w:t>analysis</w:t>
      </w:r>
      <w:r w:rsidR="00F71450">
        <w:t xml:space="preserve">, you are answering the question “Does [dependent variable] explain the co-variation in the response variables?” while the latter approach—for example, a PCA </w:t>
      </w:r>
      <w:r w:rsidR="00F71450">
        <w:lastRenderedPageBreak/>
        <w:t xml:space="preserve">followed by an ANOVA </w:t>
      </w:r>
      <w:r w:rsidR="00C642C9">
        <w:t>using</w:t>
      </w:r>
      <w:r w:rsidR="00F71450">
        <w:t xml:space="preserve"> principal component scores</w:t>
      </w:r>
      <w:r w:rsidR="00C642C9">
        <w:t xml:space="preserve"> as an independent variable</w:t>
      </w:r>
      <w:r w:rsidR="00F71450">
        <w:t>—answers the question “Is there a main axis of variation that describes the response variables, and does [dependent variable] explain variation in that main axis of variation?”</w:t>
      </w:r>
      <w:r w:rsidR="00C642C9">
        <w:t xml:space="preserve"> While the second approach may be appropriate in some situations, it is important to understand the difference.  As we will show in this paper, significant multivariate relationships are often missed by the unsupervised approach, for example when the variables that </w:t>
      </w:r>
      <w:r w:rsidR="009B10BD">
        <w:t>covary with a</w:t>
      </w:r>
      <w:r w:rsidR="00C642C9">
        <w:t xml:space="preserve"> dependent variable are not the same ones that account for a large amount of variation in the dataset.</w:t>
      </w:r>
    </w:p>
    <w:p w14:paraId="5BAC7F15" w14:textId="7DD50BB9" w:rsidR="00F71450" w:rsidRPr="00F71450" w:rsidRDefault="009B1C7C" w:rsidP="00C642C9">
      <w:pPr>
        <w:pStyle w:val="FirstParagraph"/>
        <w:spacing w:line="360" w:lineRule="auto"/>
      </w:pPr>
      <w:r>
        <w:t xml:space="preserve">In the past, </w:t>
      </w:r>
      <w:r w:rsidR="00C642C9">
        <w:t xml:space="preserve">ecologists may have avoided </w:t>
      </w:r>
      <w:r w:rsidR="00F71450">
        <w:t xml:space="preserve">supervised </w:t>
      </w:r>
      <w:r>
        <w:t xml:space="preserve">techniques </w:t>
      </w:r>
      <w:r w:rsidR="00C642C9">
        <w:t>because they were</w:t>
      </w:r>
      <w:r>
        <w:t xml:space="preserve"> </w:t>
      </w:r>
      <w:r w:rsidR="005F687C">
        <w:t>subject to the so-called “curse of dimensionality”.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w:t>
      </w:r>
      <w:r w:rsidR="009B10BD">
        <w:t xml:space="preserve">i.e., </w:t>
      </w:r>
      <w:r w:rsidR="00497837">
        <w:t xml:space="preserve">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r w:rsidR="009B10BD">
        <w:t>.</w:t>
      </w:r>
    </w:p>
    <w:p w14:paraId="4D7FDF9F" w14:textId="688269E0"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 xml:space="preserve">lemented into </w:t>
      </w:r>
      <w:r w:rsidR="00497837">
        <w:lastRenderedPageBreak/>
        <w:t>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xml:space="preserve">.  This makes PLS an ideal technique for </w:t>
      </w:r>
      <w:r w:rsidR="009B10BD">
        <w:t>highly multivariate</w:t>
      </w:r>
      <w:r>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t>.</w:t>
      </w:r>
    </w:p>
    <w:p w14:paraId="3E47113A" w14:textId="749BC67B" w:rsidR="00AA61C7" w:rsidRDefault="00AA61C7" w:rsidP="00393E1C">
      <w:pPr>
        <w:pStyle w:val="BodyText"/>
        <w:spacing w:line="360" w:lineRule="auto"/>
      </w:pPr>
      <w:r>
        <w:t>PLS does show up in ecological literature, but often methods and results are reported poorly or incorrectly</w:t>
      </w:r>
      <w:r w:rsidR="00C642C9">
        <w:t>, perhaps because researchers are accustomed to presenting and seeing results of unsupervised methods like PCA</w:t>
      </w:r>
      <w:r>
        <w:t xml:space="preserve">.  Therefore, in this paper we offer advice and best practices on when to </w:t>
      </w:r>
      <w:r w:rsidR="00C642C9">
        <w:t>use</w:t>
      </w:r>
      <w:r>
        <w:t xml:space="preserve"> PLS, how to </w:t>
      </w:r>
      <w:r w:rsidR="00C642C9">
        <w:t>use</w:t>
      </w:r>
      <w:r>
        <w:t xml:space="preserve"> PLS, and how to report results.</w:t>
      </w:r>
    </w:p>
    <w:p w14:paraId="3042F554" w14:textId="00E98251" w:rsidR="00875959" w:rsidRDefault="00B12F2E" w:rsidP="00B12F2E">
      <w:pPr>
        <w:pStyle w:val="Heading1"/>
      </w:pPr>
      <w:bookmarkStart w:id="3" w:name="questions-i-have"/>
      <w:bookmarkStart w:id="4" w:name="methods-briefly"/>
      <w:bookmarkEnd w:id="3"/>
      <w:bookmarkEnd w:id="4"/>
      <w:r w:rsidRPr="00B12F2E">
        <w:t>Case</w:t>
      </w:r>
      <w:r>
        <w:t xml:space="preserve"> Study</w:t>
      </w:r>
    </w:p>
    <w:p w14:paraId="193903B8" w14:textId="58565E2C" w:rsidR="00B12F2E" w:rsidRDefault="00B12F2E" w:rsidP="00B12F2E">
      <w:pPr>
        <w:pStyle w:val="Heading2"/>
      </w:pPr>
      <w:r>
        <w:t>Methods</w:t>
      </w:r>
    </w:p>
    <w:p w14:paraId="0467A3BE" w14:textId="7FCCD3B8" w:rsidR="00B12F2E" w:rsidRDefault="00B12F2E" w:rsidP="00B12F2E">
      <w:pPr>
        <w:pStyle w:val="Heading2"/>
      </w:pPr>
      <w:r>
        <w:t>Results and Discussion</w:t>
      </w:r>
    </w:p>
    <w:p w14:paraId="7CF15C30" w14:textId="77777777" w:rsidR="007F1BD2" w:rsidRDefault="007F1BD2" w:rsidP="007F1BD2">
      <w:pPr>
        <w:pStyle w:val="BodyText"/>
      </w:pPr>
      <w:commentRangeStart w:id="5"/>
      <w:r>
        <w:t xml:space="preserve">It is important to perform cross-validation on </w:t>
      </w:r>
      <w:proofErr w:type="spellStart"/>
      <w:r>
        <w:t>pls</w:t>
      </w:r>
      <w:proofErr w:type="spellEnd"/>
      <w:r>
        <w:t xml:space="preserve"> models to avoid over-fitting.  Cross-validation involves building a </w:t>
      </w:r>
      <w:proofErr w:type="spellStart"/>
      <w:r>
        <w:t>pls</w:t>
      </w:r>
      <w:proofErr w:type="spellEnd"/>
      <w:r>
        <w:t xml:space="preserve"> model on a training subset of data and using that to predict the response variable from a test set.  This cross-validation is then used to select an optimal number of components that reduces error (often measured as root mean square error of prediction, RMSEP).  In the case that zero components </w:t>
      </w:r>
      <w:proofErr w:type="gramStart"/>
      <w:r>
        <w:t>is</w:t>
      </w:r>
      <w:proofErr w:type="gramEnd"/>
      <w:r>
        <w:t xml:space="preserve"> selected, the model is considered non-significant and one can conclude that there is no significant multivariate relationship with the response variable.  The explanatory power of a PLS model can be evaluated with an R2Y statistic which is analogous to a regression R2. Additionally, some software packages (e.g. </w:t>
      </w:r>
      <w:proofErr w:type="spellStart"/>
      <w:r>
        <w:rPr>
          <w:i/>
        </w:rPr>
        <w:t>ropls</w:t>
      </w:r>
      <w:proofErr w:type="spellEnd"/>
      <w:r>
        <w:t xml:space="preserve"> R package and SIMCA) provide a Q2 value, which is generated through cross-validation and can be used to evaluate the predictive power of a PLS model.  A Q2 value that is much lower than the R2Y value indicates that the R2Y is not particularly robust.  </w:t>
      </w:r>
      <w:r w:rsidRPr="00C054D3">
        <w:rPr>
          <w:highlight w:val="yellow"/>
        </w:rPr>
        <w:t>[some sentence about what to do if Q2 is really low.  Ask Elizabeth about this]</w:t>
      </w:r>
      <w:r>
        <w:t>. Worley and Powers (</w:t>
      </w:r>
      <w:commentRangeStart w:id="6"/>
      <w:r>
        <w:t>2016</w:t>
      </w:r>
      <w:commentRangeEnd w:id="6"/>
      <w:r>
        <w:rPr>
          <w:rStyle w:val="CommentReference"/>
        </w:rPr>
        <w:commentReference w:id="6"/>
      </w:r>
      <w:r>
        <w:t xml:space="preserve">) suggest using PCA as a second validation tool.  However, we demonstrate below that it is entirely possible to have a highly significant PLS model with </w:t>
      </w:r>
      <w:r>
        <w:lastRenderedPageBreak/>
        <w:t xml:space="preserve">no visible separation in a PCA score plot. Statistical significance of the PLS model can be derived through permutation testing. By randomly permuting data labels and re-fitting the PLS, a p-value can be generated for both </w:t>
      </w:r>
      <w:commentRangeStart w:id="7"/>
      <w:r>
        <w:t>R2Y and Q2 values to determine how likely those values are to be as high or higher simply by chance.</w:t>
      </w:r>
      <w:commentRangeEnd w:id="7"/>
      <w:r>
        <w:rPr>
          <w:rStyle w:val="CommentReference"/>
        </w:rPr>
        <w:commentReference w:id="7"/>
      </w:r>
    </w:p>
    <w:p w14:paraId="526A8F67" w14:textId="77777777" w:rsidR="007F1BD2" w:rsidRDefault="007F1BD2" w:rsidP="007F1BD2">
      <w:pPr>
        <w:pStyle w:val="BodyText"/>
      </w:pPr>
    </w:p>
    <w:p w14:paraId="5D0C46E5" w14:textId="77777777" w:rsidR="007F1BD2" w:rsidRDefault="007F1BD2" w:rsidP="007F1BD2">
      <w:pPr>
        <w:pStyle w:val="BodyText"/>
      </w:pPr>
      <w:r>
        <w:t>Plotting</w:t>
      </w:r>
    </w:p>
    <w:p w14:paraId="3B08AF49" w14:textId="77777777" w:rsidR="007F1BD2" w:rsidRPr="00C054D3" w:rsidRDefault="007F1BD2" w:rsidP="007F1BD2">
      <w:pPr>
        <w:pStyle w:val="BodyText"/>
      </w:pPr>
      <w:r>
        <w:t>If a PLS model doesn’t pass the checks of cross-validation, we strongly recommend against plotting the resulting score plot.  As we show below, visible separation may occur in PLS score plots even when cross-validation indicates the model is not significant.  If the PLS is significant, a score plot still could be misleading, especially given that even randomly permuted data can produce PLS score plots with visible separation between groups or ordering along a continuous response variable (</w:t>
      </w:r>
      <w:r w:rsidRPr="00802A62">
        <w:rPr>
          <w:highlight w:val="yellow"/>
        </w:rPr>
        <w:t>Worley and Powers, 2016</w:t>
      </w:r>
      <w:r>
        <w:t>). Score plots are useful, however, when plotted alongside loading plots or when discriminating between more than two groups.  Loading plots allow readers to interpret predictive axes. For a PLS-DA with multiple levels of a categorical response variable, readers can use a score plot to assess relative similarity of groups along predictive axes.  Finally, because cross-validation is so essential when conducting PLS, we recommend always including cross-validation results of some kind in the figure legend or in the figure itself (fig…).</w:t>
      </w:r>
      <w:commentRangeEnd w:id="5"/>
      <w:r>
        <w:rPr>
          <w:rStyle w:val="CommentReference"/>
        </w:rPr>
        <w:commentReference w:id="5"/>
      </w:r>
    </w:p>
    <w:p w14:paraId="6FE34595" w14:textId="77777777" w:rsidR="007F1BD2" w:rsidRPr="007F1BD2" w:rsidRDefault="007F1BD2" w:rsidP="007F1BD2">
      <w:pPr>
        <w:pStyle w:val="BodyText"/>
      </w:pPr>
    </w:p>
    <w:p w14:paraId="7D493181" w14:textId="5D8552D2" w:rsidR="00B12F2E" w:rsidRDefault="00FA73C9" w:rsidP="00B12F2E">
      <w:pPr>
        <w:pStyle w:val="Heading1"/>
      </w:pPr>
      <w:bookmarkStart w:id="8" w:name="simulated-data-methods"/>
      <w:bookmarkEnd w:id="8"/>
      <w:r>
        <w:t>Simulated data</w:t>
      </w:r>
    </w:p>
    <w:p w14:paraId="5EC7209F" w14:textId="03E87272" w:rsidR="007F1BD2" w:rsidRPr="007F1BD2" w:rsidRDefault="007F1BD2" w:rsidP="007F1BD2">
      <w:pPr>
        <w:pStyle w:val="Heading2"/>
      </w:pPr>
      <w:r>
        <w:t>Methods</w:t>
      </w:r>
    </w:p>
    <w:p w14:paraId="23453E31" w14:textId="1A7044EE" w:rsidR="009B10BD" w:rsidRPr="009B10BD" w:rsidRDefault="009B10BD" w:rsidP="00B12F2E">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rsidP="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70AA87C1" w14:textId="6ECA7A40" w:rsidR="006544EF" w:rsidRDefault="006544EF" w:rsidP="006544EF">
      <w:pPr>
        <w:pStyle w:val="BodyText"/>
        <w:spacing w:line="360" w:lineRule="auto"/>
      </w:pPr>
      <w:r>
        <w:lastRenderedPageBreak/>
        <w:t>3) “</w:t>
      </w:r>
      <w:commentRangeStart w:id="9"/>
      <w:r w:rsidR="00826C2C">
        <w:t>Red Herring</w:t>
      </w:r>
      <w:commentRangeEnd w:id="9"/>
      <w:r w:rsidR="00826C2C">
        <w:rPr>
          <w:rStyle w:val="CommentReference"/>
        </w:rPr>
        <w:commentReference w:id="9"/>
      </w:r>
      <w:r w:rsidR="00826C2C">
        <w:t xml:space="preserve">” </w:t>
      </w:r>
      <w:r w:rsidR="00D729C0">
        <w:t xml:space="preserve">where 10 variables covaried moderately with </w:t>
      </w:r>
      <w:r w:rsidR="00B12F2E">
        <w:t xml:space="preserve">a </w:t>
      </w:r>
      <w:r w:rsidR="00D729C0">
        <w:t xml:space="preserve">covariance </w:t>
      </w:r>
      <w:r w:rsidR="00B12F2E">
        <w:t>of</w:t>
      </w:r>
      <w:r w:rsidR="00D729C0">
        <w:t xml:space="preserve"> 0.5 but distinguished groups poorly</w:t>
      </w:r>
      <w:r w:rsidR="007F1BD2">
        <w:t xml:space="preserve"> (difference in means = 1)</w:t>
      </w:r>
      <w:r w:rsidR="00826C2C">
        <w:t xml:space="preserve">; 10 variables </w:t>
      </w:r>
      <w:r w:rsidR="00B12F2E">
        <w:t>with zero covariance</w:t>
      </w:r>
      <w:r w:rsidR="00826C2C">
        <w:t>, but</w:t>
      </w:r>
      <w:r w:rsidR="00B12F2E">
        <w:t xml:space="preserve"> that</w:t>
      </w:r>
      <w:r w:rsidR="00826C2C">
        <w:t xml:space="preserve"> distinguished groups mor</w:t>
      </w:r>
      <w:bookmarkStart w:id="10" w:name="_GoBack"/>
      <w:bookmarkEnd w:id="10"/>
      <w:r w:rsidR="00826C2C">
        <w:t>e strongly</w:t>
      </w:r>
      <w:r w:rsidR="007F1BD2">
        <w:t xml:space="preserve"> (difference in means = 2)</w:t>
      </w:r>
      <w:r w:rsidR="00826C2C">
        <w:t>; 5 variables did not covary or distinguish groups (i.e. noise).</w:t>
      </w:r>
    </w:p>
    <w:p w14:paraId="6FD164D2" w14:textId="7C0A5A56" w:rsidR="007174F2" w:rsidRDefault="00F43EFB" w:rsidP="006544EF">
      <w:pPr>
        <w:pStyle w:val="BodyText"/>
        <w:spacing w:line="360" w:lineRule="auto"/>
      </w:pPr>
      <w:r>
        <w:t>4) “Control” where two sets of 5 variables covary moderately with covariance = 0.5 and discriminate between groups</w:t>
      </w:r>
      <w:r w:rsidR="007F1BD2">
        <w:t xml:space="preserve"> (difference in means = 2)</w:t>
      </w:r>
      <w:r>
        <w:t xml:space="preserve">; 5 variables with covariance = 0.5 </w:t>
      </w:r>
      <w:r w:rsidR="007F1BD2">
        <w:t>and no difference in means</w:t>
      </w:r>
      <w:r>
        <w:t>; and 10 variables that do not covary or distinguish groups (i.e. noise)</w:t>
      </w:r>
      <w:r w:rsidR="000007E9">
        <w:t xml:space="preserve"> (Fig 1G)</w:t>
      </w:r>
      <w:r>
        <w:t>.</w:t>
      </w:r>
    </w:p>
    <w:p w14:paraId="3E255C96" w14:textId="7B6C90A5" w:rsidR="001146E8" w:rsidRDefault="007174F2" w:rsidP="006544EF">
      <w:pPr>
        <w:pStyle w:val="BodyText"/>
        <w:spacing w:line="360" w:lineRule="auto"/>
      </w:pPr>
      <w:r>
        <w:t xml:space="preserve">Multivariate data were simulated in R using the </w:t>
      </w:r>
      <w:proofErr w:type="spellStart"/>
      <w:r w:rsidRPr="00BE6A21">
        <w:rPr>
          <w:i/>
        </w:rPr>
        <w:t>tidymvsim</w:t>
      </w:r>
      <w:proofErr w:type="spellEnd"/>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 xml:space="preserve">We created </w:t>
      </w:r>
      <w:commentRangeStart w:id="11"/>
      <w:r w:rsidR="00826C2C">
        <w:t xml:space="preserve">100 </w:t>
      </w:r>
      <w:commentRangeEnd w:id="11"/>
      <w:r w:rsidR="00F43EFB">
        <w:rPr>
          <w:rStyle w:val="CommentReference"/>
        </w:rPr>
        <w:commentReference w:id="11"/>
      </w:r>
      <w:r w:rsidR="00826C2C">
        <w:t>randomly generated datasets using the same parameters under each of these scenarios</w:t>
      </w:r>
      <w:r w:rsidR="001146E8">
        <w:t>.</w:t>
      </w:r>
      <w:r w:rsidR="00826C2C">
        <w:t xml:space="preserve"> PCA and PLS-DA</w:t>
      </w:r>
      <w:r w:rsidR="001146E8">
        <w:t xml:space="preserve"> were 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1146E8">
        <w:fldChar w:fldCharType="begin" w:fldLock="1"/>
      </w:r>
      <w:r w:rsidR="001146E8">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rsidR="00826C2C">
        <w:t xml:space="preserve">.  </w:t>
      </w:r>
      <w:r w:rsidR="00BE6A21">
        <w:t xml:space="preserve">For permutation testing to calculate p-values for PLS-DA models, 500 permutations were used. In the case that a </w:t>
      </w:r>
      <w:r w:rsidR="007F1BD2">
        <w:t>PLS</w:t>
      </w:r>
      <w:r w:rsidR="00BE6A21">
        <w:t xml:space="preserve"> model couldn’t be created for a dataset (for example, because the first component was not significant), those datasets were removed after recording the number of failed models.</w:t>
      </w:r>
    </w:p>
    <w:p w14:paraId="54826CB7" w14:textId="4C850E7E" w:rsidR="00190643" w:rsidRDefault="001146E8" w:rsidP="00190643">
      <w:pPr>
        <w:pStyle w:val="BodyText"/>
        <w:spacing w:line="360" w:lineRule="auto"/>
      </w:pPr>
      <w:r>
        <w:t>To test accuracy of identification of important discriminating variables,</w:t>
      </w:r>
      <w:r w:rsidR="000007E9">
        <w:t xml:space="preserve"> we used the “control” and “needle in a haystack” scenarios where variables were either discriminating or not.</w:t>
      </w:r>
      <w:r>
        <w:t xml:space="preserve"> </w:t>
      </w:r>
      <w:r w:rsidR="000007E9">
        <w:t>W</w:t>
      </w:r>
      <w:r>
        <w:t>e set criteria for both methods (PCA and PLS-DA) to identify important discriminating variables</w:t>
      </w:r>
      <w:r w:rsidR="005B0704">
        <w:t>.</w:t>
      </w:r>
      <w:r>
        <w:t xml:space="preserve">  For PLS-DA, a variable was considered</w:t>
      </w:r>
      <w:r w:rsidR="000007E9">
        <w:t xml:space="preserve"> identified as</w:t>
      </w:r>
      <w:r>
        <w:t xml:space="preserve"> discriminating if it had a variable importance in projection (VIP) score greater than 1.  For PCA, a variable was considered discriminating if its distance from 0 in a correlation plot of the first two principal components was greater than 0.</w:t>
      </w:r>
      <w:r w:rsidR="00BE6A21">
        <w:t xml:space="preserve">38, which is equivalent to the threshold Pearson correlation coefficient that would be significant </w:t>
      </w:r>
      <w:r w:rsidR="007F1BD2">
        <w:t>at alpha =</w:t>
      </w:r>
      <w:r w:rsidR="00BE6A21">
        <w:t xml:space="preserve"> 0.05</w:t>
      </w:r>
      <w:r>
        <w:t>. We then compared these to known variable identities (discriminating or not) and created a confusion matrix</w:t>
      </w:r>
      <w:r w:rsidR="005B0704">
        <w:t xml:space="preserve"> for each dataset with the number of discriminating variables correctly identified as important being a true positive.  From this we calculated a kappa coefficient</w:t>
      </w:r>
      <w:r w:rsidR="000007E9">
        <w:t xml:space="preserve"> for each dataset, which describes the accuracy of the method for choosing discriminating variable.</w:t>
      </w:r>
      <w:r w:rsidR="00452CFE">
        <w:t xml:space="preserve"> A Kappa coefficient of 1 indicates complete </w:t>
      </w:r>
      <w:r w:rsidR="003B60BF">
        <w:t xml:space="preserve">accuracy while a kappa of 0 indicates </w:t>
      </w:r>
      <w:r w:rsidR="003B60BF">
        <w:lastRenderedPageBreak/>
        <w:t>important variables are selected no better than by chance.  A negative kappa indicates that selection of important variables is worse than chance.</w:t>
      </w:r>
      <w:r w:rsidR="00190643">
        <w:t xml:space="preserve"> See supplemental files for reproducible R scripts.</w:t>
      </w:r>
    </w:p>
    <w:p w14:paraId="52E557A6" w14:textId="3F94883B" w:rsidR="00A15DA5" w:rsidRPr="004A40EB" w:rsidRDefault="00FA73C9" w:rsidP="007F1BD2">
      <w:pPr>
        <w:pStyle w:val="Heading2"/>
      </w:pPr>
      <w:bookmarkStart w:id="12" w:name="results"/>
      <w:bookmarkEnd w:id="12"/>
      <w:r>
        <w:t>Results</w:t>
      </w:r>
      <w:r w:rsidR="000007E9">
        <w:t xml:space="preserve"> and Discussion</w:t>
      </w:r>
      <w:bookmarkStart w:id="13" w:name="simulated-data-set"/>
      <w:bookmarkEnd w:id="13"/>
    </w:p>
    <w:p w14:paraId="309D7FE1" w14:textId="23ED3E02" w:rsidR="0064107D" w:rsidRPr="007F1BD2" w:rsidRDefault="004A40EB" w:rsidP="00144973">
      <w:pPr>
        <w:pStyle w:val="BodyText"/>
        <w:spacing w:line="360" w:lineRule="auto"/>
        <w:rPr>
          <w:i/>
        </w:rPr>
      </w:pPr>
      <w:r w:rsidRPr="007F1BD2">
        <w:rPr>
          <w:i/>
        </w:rPr>
        <w:t>PLS-DA is prone to overfitting</w:t>
      </w:r>
      <w:r w:rsidR="007F1BD2">
        <w:rPr>
          <w:i/>
        </w:rPr>
        <w:t xml:space="preserve">. </w:t>
      </w:r>
      <w:r w:rsidR="00556ADB">
        <w:t>Under the null scenario, both PCA and PLS-DA</w:t>
      </w:r>
      <w:r w:rsidR="000007E9">
        <w:t xml:space="preserve"> are expected to find no separation</w:t>
      </w:r>
      <w:r w:rsidR="00556ADB">
        <w:t xml:space="preserve"> between groups.  </w:t>
      </w:r>
      <w:r w:rsidR="007F1BD2">
        <w:t>For PLS-DA, 75 out of 100 models failed because the first predictive component was not significant (</w:t>
      </w:r>
      <w:proofErr w:type="spellStart"/>
      <w:r w:rsidR="007F1BD2">
        <w:t>Thevenot</w:t>
      </w:r>
      <w:proofErr w:type="spellEnd"/>
      <w:r w:rsidR="007F1BD2">
        <w:t xml:space="preserve"> et al 2015)</w:t>
      </w:r>
      <w:r>
        <w:t>. A lack of effect of the treatment is</w:t>
      </w:r>
      <w:r w:rsidR="00556ADB">
        <w:t xml:space="preserve"> evident for the PCA due to the lack of separation</w:t>
      </w:r>
      <w:r>
        <w:t xml:space="preserve"> of groups</w:t>
      </w:r>
      <w:r w:rsidR="00556ADB">
        <w:t xml:space="preserve"> in the score plot (Fig 1</w:t>
      </w:r>
      <w:r w:rsidR="000007E9">
        <w:t>. B</w:t>
      </w:r>
      <w:r w:rsidR="00556ADB">
        <w:t>)</w:t>
      </w:r>
      <w:r w:rsidR="000007E9">
        <w:t xml:space="preserve">.  </w:t>
      </w:r>
      <w:r>
        <w:t xml:space="preserve">For </w:t>
      </w:r>
      <w:r w:rsidR="00B164EB">
        <w:t xml:space="preserve">the </w:t>
      </w:r>
      <w:r>
        <w:t>PLS-DA</w:t>
      </w:r>
      <w:r w:rsidR="00B164EB">
        <w:t xml:space="preserve"> models that were successfully built</w:t>
      </w:r>
      <w:r>
        <w:t xml:space="preserve"> however, there is visible separation between groups in the score plot, and the permutation test</w:t>
      </w:r>
      <w:r w:rsidR="00B164EB">
        <w:t>s</w:t>
      </w:r>
      <w:r>
        <w:t xml:space="preserve"> </w:t>
      </w:r>
      <w:r w:rsidR="00B164EB">
        <w:t>are</w:t>
      </w:r>
      <w:r>
        <w:t xml:space="preserve"> marginally significant</w:t>
      </w:r>
      <w:r w:rsidR="00B164EB">
        <w:t xml:space="preserve"> on average</w:t>
      </w:r>
      <w:r>
        <w:t xml:space="preserve"> (p</w:t>
      </w:r>
      <w:r w:rsidR="00B164EB">
        <w:t>Q2</w:t>
      </w:r>
      <w:r>
        <w:t xml:space="preserve"> = 0.0</w:t>
      </w:r>
      <w:r w:rsidR="00B164EB">
        <w:t>80 ± 0.054</w:t>
      </w:r>
      <w:r>
        <w:t>).  It is important to note that even under a scenario of completely random data, PLS-DA score plots will often show visual separation between groups, which is why cross validation is necessary. The PLS-DA models that were built have extremely low</w:t>
      </w:r>
      <w:r w:rsidR="000007E9">
        <w:t xml:space="preserve"> R^2 value</w:t>
      </w:r>
      <w:r w:rsidR="0048778F">
        <w:t>s</w:t>
      </w:r>
      <w:r w:rsidR="000007E9">
        <w:t xml:space="preserve"> Q^2 value</w:t>
      </w:r>
      <w:r w:rsidR="0048778F">
        <w:t>s</w:t>
      </w:r>
      <w:r w:rsidR="000007E9">
        <w:t xml:space="preserve"> (</w:t>
      </w:r>
      <w:r w:rsidR="0048778F">
        <w:t xml:space="preserve">mean </w:t>
      </w:r>
      <w:r w:rsidR="000007E9">
        <w:t xml:space="preserve">R2Y = </w:t>
      </w:r>
      <w:r w:rsidR="00A71442">
        <w:t>0.577 ± 0.171</w:t>
      </w:r>
      <w:r w:rsidR="000007E9">
        <w:t xml:space="preserve">, </w:t>
      </w:r>
      <w:r w:rsidR="00A71442">
        <w:t xml:space="preserve">mean </w:t>
      </w:r>
      <w:r w:rsidR="000007E9">
        <w:t>Q2 = 0.2</w:t>
      </w:r>
      <w:r w:rsidR="00A71442">
        <w:t>19 ± 0.148)</w:t>
      </w:r>
      <w:r>
        <w:t xml:space="preserve"> which is an indicator of poor model performance</w:t>
      </w:r>
      <w:r w:rsidR="00785AB2">
        <w:t>.</w:t>
      </w:r>
      <w:r w:rsidR="000007E9">
        <w:t xml:space="preserve"> </w:t>
      </w:r>
      <w:r w:rsidR="0064107D">
        <w:t xml:space="preserve"> In the case that a model has poor predictive power (low Q2) it is recommended that a score plot not be </w:t>
      </w:r>
      <w:r>
        <w:t xml:space="preserve">shown, and </w:t>
      </w:r>
      <w:commentRangeStart w:id="14"/>
      <w:r>
        <w:t>no p-value reported</w:t>
      </w:r>
      <w:commentRangeEnd w:id="14"/>
      <w:r>
        <w:rPr>
          <w:rStyle w:val="CommentReference"/>
        </w:rPr>
        <w:commentReference w:id="14"/>
      </w:r>
      <w:r>
        <w:t>,</w:t>
      </w:r>
      <w:r w:rsidR="0064107D">
        <w:t xml:space="preserve"> as even under this null scenario visible separation is shown, and this is misleading.</w:t>
      </w:r>
    </w:p>
    <w:p w14:paraId="145779F0" w14:textId="22FE028A" w:rsidR="00802A62" w:rsidRDefault="00B164EB" w:rsidP="000007E9">
      <w:pPr>
        <w:pStyle w:val="BodyText"/>
        <w:spacing w:line="360" w:lineRule="auto"/>
      </w:pPr>
      <w:r>
        <w:rPr>
          <w:noProof/>
        </w:rPr>
        <w:lastRenderedPageBreak/>
        <w:drawing>
          <wp:inline distT="0" distB="0" distL="0" distR="0" wp14:anchorId="05B4292D" wp14:editId="0ECC5A80">
            <wp:extent cx="5943600" cy="540321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14:paraId="1C259DC3" w14:textId="77777777" w:rsidR="00802A62" w:rsidRDefault="00802A62" w:rsidP="00802A62">
      <w:pPr>
        <w:pStyle w:val="Caption"/>
      </w:pPr>
      <w:r w:rsidRPr="006E33FE">
        <w:t xml:space="preserve">Figure 1: </w:t>
      </w:r>
      <w:r>
        <w:t xml:space="preserve">Multivariate analysis of representative datasets from three data scenarios: “null” (A, B, C), “control” (D, E, F) and “needle in a haystack” (G, H, I). The first column shows </w:t>
      </w:r>
      <w:commentRangeStart w:id="15"/>
      <w:r>
        <w:t xml:space="preserve">correlation heatmaps </w:t>
      </w:r>
      <w:commentRangeEnd w:id="15"/>
      <w:r w:rsidR="00B164EB">
        <w:rPr>
          <w:rStyle w:val="CommentReference"/>
        </w:rPr>
        <w:commentReference w:id="15"/>
      </w:r>
      <w:r>
        <w:t>(A, D, G).  Variable names on the axes that begin with “C” were generated with a covariance of 0. 5, those that begin with “N” were generated with a covariance of 0, and those that begin with “D” were generated to have different means in the two groups. The second column shows PCA score plots (B, E, H).</w:t>
      </w:r>
      <w:r w:rsidRPr="006E33FE">
        <w:t xml:space="preserve"> </w:t>
      </w:r>
      <w:r>
        <w:t>The third column shows</w:t>
      </w:r>
      <w:r w:rsidRPr="006E33FE">
        <w:t xml:space="preserve"> PLS-DA plots</w:t>
      </w:r>
      <w:r>
        <w:t xml:space="preserve"> (C, F, I). For PLS-DA plots, </w:t>
      </w:r>
      <w:r w:rsidRPr="006E33FE">
        <w:t>the first two predictive axes are plotted, Q</w:t>
      </w:r>
      <w:r w:rsidRPr="00AF1172">
        <w:rPr>
          <w:vertAlign w:val="superscript"/>
        </w:rPr>
        <w:t>2</w:t>
      </w:r>
      <w:r w:rsidRPr="006E33FE">
        <w:t xml:space="preserve"> values are calculated using 7-fold cross validation, and p</w:t>
      </w:r>
      <w:r w:rsidRPr="00AF1172">
        <w:rPr>
          <w:vertAlign w:val="subscript"/>
        </w:rPr>
        <w:t>Q2</w:t>
      </w:r>
      <w:r w:rsidRPr="006E33FE">
        <w:t xml:space="preserve"> is calculated with </w:t>
      </w:r>
      <w:r>
        <w:t>5</w:t>
      </w:r>
      <w:r w:rsidRPr="006E33FE">
        <w:t>00 permutations</w:t>
      </w:r>
      <w:r>
        <w:t xml:space="preserve"> (C, F, I)</w:t>
      </w:r>
      <w:r w:rsidRPr="006E33FE">
        <w:t>. Ellipses represent 95% confidence bounds, par</w:t>
      </w:r>
      <w:r>
        <w:t>enthetical numbers on axis labe</w:t>
      </w:r>
      <w:r w:rsidRPr="006E33FE">
        <w:t>l</w:t>
      </w:r>
      <w:r>
        <w:t>s</w:t>
      </w:r>
      <w:r w:rsidRPr="006E33FE">
        <w:t xml:space="preserve"> are the percent of total variat</w:t>
      </w:r>
      <w:r>
        <w:t>ion explained by the axis. Note that</w:t>
      </w:r>
      <w:r w:rsidRPr="006E33FE">
        <w:t xml:space="preserve"> in </w:t>
      </w:r>
      <w:r>
        <w:t>C</w:t>
      </w:r>
      <w:r w:rsidRPr="006E33FE">
        <w:t>, the PLS-DA is clearly not a good model due to low Q</w:t>
      </w:r>
      <w:r w:rsidRPr="00AF1172">
        <w:rPr>
          <w:vertAlign w:val="superscript"/>
        </w:rPr>
        <w:t>2</w:t>
      </w:r>
      <w:r>
        <w:t xml:space="preserve"> value</w:t>
      </w:r>
      <w:r w:rsidRPr="006E33FE">
        <w:t>. We recommend not including a</w:t>
      </w:r>
      <w:r>
        <w:t xml:space="preserve"> such</w:t>
      </w:r>
      <w:r w:rsidRPr="006E33FE">
        <w:t xml:space="preserve"> PLS-DA </w:t>
      </w:r>
      <w:r>
        <w:t xml:space="preserve">score </w:t>
      </w:r>
      <w:r w:rsidRPr="006E33FE">
        <w:t>plot for non-significant results in a publication.</w:t>
      </w:r>
    </w:p>
    <w:p w14:paraId="0B6613AA" w14:textId="660D0ACA" w:rsidR="00802A62" w:rsidRDefault="00802A62" w:rsidP="000007E9">
      <w:pPr>
        <w:pStyle w:val="BodyText"/>
        <w:spacing w:line="360" w:lineRule="auto"/>
      </w:pPr>
    </w:p>
    <w:p w14:paraId="1D63E3C4" w14:textId="77777777" w:rsidR="00802A62" w:rsidRDefault="00802A62" w:rsidP="000007E9">
      <w:pPr>
        <w:pStyle w:val="BodyText"/>
        <w:spacing w:line="360" w:lineRule="auto"/>
      </w:pPr>
    </w:p>
    <w:p w14:paraId="143F4EA3" w14:textId="4CD3CBA9" w:rsidR="0064107D" w:rsidRDefault="004A40EB" w:rsidP="000007E9">
      <w:pPr>
        <w:pStyle w:val="BodyText"/>
        <w:spacing w:line="360" w:lineRule="auto"/>
      </w:pPr>
      <w:r w:rsidRPr="00B164EB">
        <w:rPr>
          <w:i/>
        </w:rPr>
        <w:lastRenderedPageBreak/>
        <w:t>PLS-DA finds obvious differences between groups as well as PCA</w:t>
      </w:r>
      <w:r w:rsidR="00B164EB">
        <w:t xml:space="preserve">. </w:t>
      </w:r>
      <w:r w:rsidR="0064107D">
        <w:t>Under the control scenario,</w:t>
      </w:r>
      <w:r w:rsidR="00CD4FB8">
        <w:t xml:space="preserve"> </w:t>
      </w:r>
      <w:r w:rsidR="00BA0862">
        <w:t>the PCA for one of the datasets failed due to a convergence error and PLS-DA models were built for all 100 datasets. B</w:t>
      </w:r>
      <w:r w:rsidR="0064107D">
        <w:t>oth PCA and PLS-DA show significant separation between groups.  In PCA, there is separation between groups along PC1</w:t>
      </w:r>
      <w:r>
        <w:t xml:space="preserve"> </w:t>
      </w:r>
      <w:r w:rsidRPr="004A40EB">
        <w:rPr>
          <w:highlight w:val="yellow"/>
        </w:rPr>
        <w:t>(Fig</w:t>
      </w:r>
      <w:r w:rsidR="0064107D" w:rsidRPr="004A40EB">
        <w:rPr>
          <w:highlight w:val="yellow"/>
        </w:rPr>
        <w:t>.</w:t>
      </w:r>
      <w:r w:rsidR="00B164EB">
        <w:rPr>
          <w:highlight w:val="yellow"/>
        </w:rPr>
        <w:t>1D</w:t>
      </w:r>
      <w:proofErr w:type="gramStart"/>
      <w:r w:rsidRPr="004A40EB">
        <w:rPr>
          <w:highlight w:val="yellow"/>
        </w:rPr>
        <w:t>)</w:t>
      </w:r>
      <w:r w:rsidR="0064107D">
        <w:t xml:space="preserve">  For</w:t>
      </w:r>
      <w:proofErr w:type="gramEnd"/>
      <w:r w:rsidR="0064107D">
        <w:t xml:space="preserve"> PLS-DA, both</w:t>
      </w:r>
      <w:r w:rsidR="00A71442">
        <w:t xml:space="preserve"> mean</w:t>
      </w:r>
      <w:r w:rsidR="0064107D">
        <w:t xml:space="preserve"> R2Y and </w:t>
      </w:r>
      <w:r w:rsidR="00A71442">
        <w:t xml:space="preserve">mean </w:t>
      </w:r>
      <w:r w:rsidR="0064107D">
        <w:t>Q2 are high (</w:t>
      </w:r>
      <w:r w:rsidR="00A71442">
        <w:t>0.835 ± 0.061</w:t>
      </w:r>
      <w:r w:rsidR="0064107D">
        <w:t xml:space="preserve"> and 0.7</w:t>
      </w:r>
      <w:r w:rsidR="00A71442">
        <w:t>52 ± 0.072</w:t>
      </w:r>
      <w:r w:rsidR="0064107D">
        <w:t>, respectively), and permutation testing is highly significant (p</w:t>
      </w:r>
      <w:r w:rsidR="00B164EB">
        <w:t>Q2</w:t>
      </w:r>
      <w:r w:rsidR="0064107D">
        <w:t xml:space="preserve"> = 0.002</w:t>
      </w:r>
      <w:r w:rsidR="00B164EB">
        <w:t xml:space="preserve"> ± 0.001</w:t>
      </w:r>
      <w:r w:rsidR="0064107D">
        <w:t>).  Because the discriminating variables are also the variables that contribute the most to overall covariation in the dataset, PCA and PLS-DA are nearly equivalent, despite answering slightly different questions.</w:t>
      </w:r>
      <w:r>
        <w:t xml:space="preserve">  Here, PCA is answering the question “Is there a main axis of variation in the data?” and then we are able to evaluate separation along that axis visually through a score plot or statistically by doing a t-test on principal component axis scores.  PLS-DA, on the other hand, is answering the question “</w:t>
      </w:r>
      <w:r w:rsidR="00B164EB">
        <w:t>What</w:t>
      </w:r>
      <w:r>
        <w:t xml:space="preserve"> variables</w:t>
      </w:r>
      <w:r w:rsidR="00B164EB">
        <w:t xml:space="preserve"> (if any)</w:t>
      </w:r>
      <w:r>
        <w:t xml:space="preserve"> explain the difference between groups?” and it answers this directly with model cross-validation scores and a p-value obtained by permutation.</w:t>
      </w:r>
    </w:p>
    <w:p w14:paraId="30CD6EF9" w14:textId="77777777" w:rsidR="004A40EB" w:rsidRDefault="004A40EB" w:rsidP="000007E9">
      <w:pPr>
        <w:pStyle w:val="BodyText"/>
        <w:spacing w:line="360" w:lineRule="auto"/>
      </w:pPr>
    </w:p>
    <w:p w14:paraId="2A5DD23A" w14:textId="2DE86437" w:rsidR="0064107D" w:rsidRDefault="004A40EB" w:rsidP="000007E9">
      <w:pPr>
        <w:pStyle w:val="BodyText"/>
        <w:spacing w:line="360" w:lineRule="auto"/>
      </w:pPr>
      <w:r w:rsidRPr="00B164EB">
        <w:rPr>
          <w:i/>
        </w:rPr>
        <w:t>PLS-DA outperforms PCA when discriminating variables aren’t responsible for the majority of covariation</w:t>
      </w:r>
      <w:r w:rsidR="00B164EB" w:rsidRPr="00B164EB">
        <w:rPr>
          <w:i/>
        </w:rPr>
        <w:t>.</w:t>
      </w:r>
      <w:r w:rsidR="00B164EB">
        <w:t xml:space="preserve"> </w:t>
      </w:r>
      <w:r>
        <w:t>For the needle in a haystack scenario, t</w:t>
      </w:r>
      <w:r w:rsidR="00DE46B2">
        <w:t xml:space="preserve">here is poor separation </w:t>
      </w:r>
      <w:r>
        <w:t xml:space="preserve">between groups </w:t>
      </w:r>
      <w:r w:rsidR="00DE46B2">
        <w:t xml:space="preserve">in the PCA score plot (Fig 1H) while PLS-DA shows strong separation (Fig 1I) and has a very high </w:t>
      </w:r>
      <w:r w:rsidR="00A71442">
        <w:t xml:space="preserve">mean </w:t>
      </w:r>
      <w:r w:rsidR="00DE46B2">
        <w:t xml:space="preserve">R2 and Q2 </w:t>
      </w:r>
      <w:r>
        <w:t xml:space="preserve">value </w:t>
      </w:r>
      <w:r w:rsidR="00DE46B2">
        <w:t>(0.</w:t>
      </w:r>
      <w:r w:rsidR="00A71442">
        <w:t>906 ± 0.046</w:t>
      </w:r>
      <w:r w:rsidR="00DE46B2">
        <w:t xml:space="preserve"> and 0.</w:t>
      </w:r>
      <w:r w:rsidR="00A71442">
        <w:t>709 ± 0.108</w:t>
      </w:r>
      <w:r w:rsidR="00DE46B2">
        <w:t>, respectively) and a highly significant permutation test (p = 0.002</w:t>
      </w:r>
      <w:r w:rsidR="006E569C">
        <w:t xml:space="preserve"> ± 0.001</w:t>
      </w:r>
      <w:r w:rsidR="00DE46B2">
        <w:t>).</w:t>
      </w:r>
      <w:r>
        <w:t xml:space="preserve"> </w:t>
      </w:r>
    </w:p>
    <w:p w14:paraId="5B878148" w14:textId="7844348A" w:rsidR="004A40EB" w:rsidRDefault="004A40EB" w:rsidP="000007E9">
      <w:pPr>
        <w:pStyle w:val="BodyText"/>
        <w:spacing w:line="360" w:lineRule="auto"/>
      </w:pPr>
      <w:r>
        <w:t xml:space="preserve">In the needle in a haystack scenario, PCA performs poorly at finding group separation, while PLS-DA is able to find strong separation between groups.  This is because the variables that contribute to differences between the groups are not contributing greatly to the overall variation in the data.  Again, this is by design because these methods answer different questions.  PCA is finding the main axis of variation in the data, while PLS-DA is finding variables that co-vary with group membership. </w:t>
      </w:r>
      <w:r w:rsidR="00144973">
        <w:t xml:space="preserve"> This is further demonstrated through calculation of the kappa coefficients for these analyses.</w:t>
      </w:r>
    </w:p>
    <w:p w14:paraId="6BA08D8A" w14:textId="253A5D0C" w:rsidR="00144973" w:rsidRDefault="00144973" w:rsidP="000007E9">
      <w:pPr>
        <w:pStyle w:val="BodyText"/>
        <w:spacing w:line="360" w:lineRule="auto"/>
      </w:pPr>
      <w:r w:rsidRPr="00144973">
        <w:rPr>
          <w:i/>
        </w:rPr>
        <w:t xml:space="preserve">PLS-DA identifies discriminating variables while PCA identifies variables with high variation. </w:t>
      </w:r>
      <w:r>
        <w:t>Kappa coefficients for the two methods (</w:t>
      </w:r>
      <w:commentRangeStart w:id="16"/>
      <w:r>
        <w:t>table</w:t>
      </w:r>
      <w:commentRangeEnd w:id="16"/>
      <w:r>
        <w:rPr>
          <w:rStyle w:val="CommentReference"/>
        </w:rPr>
        <w:commentReference w:id="16"/>
      </w:r>
      <w:r>
        <w:t xml:space="preserve">?) show that PLS identifies variables that </w:t>
      </w:r>
      <w:r>
        <w:lastRenderedPageBreak/>
        <w:t>were created with different means in the two levels of our factor consistently better than PCA.  Even in the control scenario where PCA and PLS performed similarly in finding separation between groups, PLS far outperforms PCA at correctly identifying the variables most responsible for that separation (table).</w:t>
      </w:r>
    </w:p>
    <w:p w14:paraId="4B1057AC" w14:textId="77777777" w:rsidR="00144973" w:rsidRPr="00144973" w:rsidRDefault="00144973" w:rsidP="000007E9">
      <w:pPr>
        <w:pStyle w:val="BodyText"/>
        <w:spacing w:line="360" w:lineRule="auto"/>
      </w:pPr>
    </w:p>
    <w:p w14:paraId="7BFAE647" w14:textId="4F4B2737" w:rsidR="00556ADB" w:rsidRDefault="004A40EB" w:rsidP="00556ADB">
      <w:pPr>
        <w:pStyle w:val="Heading4"/>
      </w:pPr>
      <w:r>
        <w:t xml:space="preserve"> </w:t>
      </w:r>
      <w:r w:rsidR="00556ADB">
        <w:t>Identifying important variables</w:t>
      </w:r>
    </w:p>
    <w:p w14:paraId="3A3820F0" w14:textId="16546FAE" w:rsidR="00556ADB" w:rsidRDefault="00556ADB" w:rsidP="00556ADB">
      <w:pPr>
        <w:pStyle w:val="BodyText"/>
      </w:pPr>
    </w:p>
    <w:p w14:paraId="404D2D8B" w14:textId="77777777" w:rsidR="00556ADB" w:rsidRPr="00556ADB" w:rsidRDefault="00556ADB" w:rsidP="00556ADB">
      <w:pPr>
        <w:pStyle w:val="BodyText"/>
      </w:pP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Other statistical methods that use F-tests (PERMANOVA, RDA, PC-ANOVA) are not going to work well if there is a lot of covariation in the data set that is NOT related to the dependent variable.  PLS-DA seems relatively un-phased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5D0AB7AB" w14:textId="410B4C7D" w:rsidR="00875959" w:rsidRDefault="00875959" w:rsidP="006E33FE">
      <w:pPr>
        <w:pStyle w:val="FirstParagraph"/>
        <w:ind w:left="720"/>
      </w:pPr>
    </w:p>
    <w:p w14:paraId="6B7DE103" w14:textId="77777777" w:rsidR="00A97650" w:rsidRPr="006E33FE" w:rsidRDefault="00A97650" w:rsidP="006E33FE">
      <w:pPr>
        <w:pStyle w:val="Caption"/>
      </w:pPr>
    </w:p>
    <w:p w14:paraId="2E304CD5" w14:textId="268E370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w:t>
      </w:r>
      <w:r>
        <w:lastRenderedPageBreak/>
        <w:t xml:space="preserve">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w:t>
      </w:r>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517FB86F" w:rsidR="00875959" w:rsidRDefault="00875959" w:rsidP="006E33FE">
      <w:pPr>
        <w:pStyle w:val="BodyText"/>
        <w:ind w:left="720"/>
      </w:pPr>
    </w:p>
    <w:p w14:paraId="0D947B08" w14:textId="77777777" w:rsidR="00875959" w:rsidRDefault="00FA73C9">
      <w:pPr>
        <w:pStyle w:val="Heading2"/>
      </w:pPr>
      <w:bookmarkStart w:id="17" w:name="cupcakes-vs.muffins"/>
      <w:bookmarkEnd w:id="17"/>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2"/>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8"/>
      <w:r w:rsidR="00441AFF">
        <w:t>O</w:t>
      </w:r>
      <w:r>
        <w:t xml:space="preserve">PLS-DA </w:t>
      </w:r>
      <w:commentRangeEnd w:id="18"/>
      <w:r w:rsidR="00441AFF">
        <w:rPr>
          <w:rStyle w:val="CommentReference"/>
        </w:rPr>
        <w:commentReference w:id="18"/>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lastRenderedPageBreak/>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3"/>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w:t>
      </w:r>
      <w:r>
        <w:lastRenderedPageBreak/>
        <w:t xml:space="preserve">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9" w:name="discussion"/>
      <w:bookmarkEnd w:id="19"/>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(Hervé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lastRenderedPageBreak/>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20" w:name="introduction"/>
      <w:bookmarkEnd w:id="20"/>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501B59ED" w14:textId="1B630834" w:rsidR="001146E8" w:rsidRPr="001146E8" w:rsidRDefault="005916EF" w:rsidP="001146E8">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1146E8" w:rsidRPr="001146E8">
        <w:rPr>
          <w:rFonts w:ascii="Cambria" w:hAnsi="Cambria" w:cs="Times New Roman"/>
          <w:noProof/>
        </w:rPr>
        <w:t>Aplin P (2005) Remote sensing: ecology. Prog Phys Geogr 29:104–113. doi: 10.1191/030913305pp437pr</w:t>
      </w:r>
    </w:p>
    <w:p w14:paraId="4455BA0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Berger B, Parent B, Tester M (2010) High-throughput shoot imaging to study drought responses. J Exp Bot 61:3519–3528. doi: 10.1093/jxb/erq201</w:t>
      </w:r>
    </w:p>
    <w:p w14:paraId="27CF869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Bonney R, Cooper CB, Dickinson J, et al (2009) Citizen Science: A Developing Tool for Expanding Science Knowledge and Scientific Literacy. Bioscience 59:977–984. doi: 10.1525/bio.2009.59.11.9</w:t>
      </w:r>
    </w:p>
    <w:p w14:paraId="5F6A86E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Chong I-G, Jun C-H (2005) Performance of some variable selection methods when multicollinearity is present. Chemom Intell Lab Syst 78:103–112. doi: 10.1016/J.CHEMOLAB.2004.12.011</w:t>
      </w:r>
    </w:p>
    <w:p w14:paraId="14C6FD8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Cooke SJ, Hinch SG, Wikelski M, et al (2004) Biotelemetry: a mechanistic approach to ecology. Trends Ecol Evol 19:334–343. doi: 10.1016/J.TREE.2004.04.003</w:t>
      </w:r>
    </w:p>
    <w:p w14:paraId="30F9E0B1"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 xml:space="preserve">Dickinson JL, Shirk J, Bonter D, et al (2012) The current state of citizen science as a tool for ecological research and public engagement. Front Ecol Environ 10:291–297. doi: </w:t>
      </w:r>
      <w:r w:rsidRPr="001146E8">
        <w:rPr>
          <w:rFonts w:ascii="Cambria" w:hAnsi="Cambria" w:cs="Times New Roman"/>
          <w:noProof/>
        </w:rPr>
        <w:lastRenderedPageBreak/>
        <w:t>10.1890/110236</w:t>
      </w:r>
    </w:p>
    <w:p w14:paraId="7D2DB14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Fahlgren N, Gehan MA, Baxter I (2015) Lights, camera, action: high-throughput plant phenotyping is ready for a close-up. Curr Opin Plant Biol 24:93–99. doi: 10.1016/J.PBI.2015.02.006</w:t>
      </w:r>
    </w:p>
    <w:p w14:paraId="5CF7D05B"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Geladi P, Kowalski BR (1986) Partial least-squares regression: a tutorial. Anal Chim Acta 185:1–17. doi: 10.1016/0003-2670(86)80028-9</w:t>
      </w:r>
    </w:p>
    <w:p w14:paraId="2A0116CA"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Hervé MR, Nicolè F, Lê Cao K-A (2018) Multivariate Analysis of Multiple Datasets: a Practical Guide for Chemical Ecology. J Chem Ecol 44:215–234. doi: 10.1007/s10886-018-0932-6</w:t>
      </w:r>
    </w:p>
    <w:p w14:paraId="06D4142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Kallenbach M, Oh Y, Eilers EJ, et al (2014) A robust, simple, high-throughput technique for time-resolved plant volatile analysis in field experiments. Plant J 78:1060–1072. doi: 10.1111/tpj.12523</w:t>
      </w:r>
    </w:p>
    <w:p w14:paraId="11161508"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73186D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Liu J (2011) Overview of redundancy analysis and partial linear squares and their extension to the frequency domain. Dalhousie University</w:t>
      </w:r>
    </w:p>
    <w:p w14:paraId="620F6D2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Porter J, Arzberger P, Braun H-W, et al (2005) Wireless Sensor Networks for Ecology. Bioscience 55:561–572. doi: 10.1641/0006-3568(2005)055[0561:WSNFE]2.0.CO;2</w:t>
      </w:r>
    </w:p>
    <w:p w14:paraId="04DC4D97"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Roughgarden J, Running SW, Matson PA (1991) What Does Remote Sensing Do For Ecology? Ecology 72:1918–1922. doi: 10.2307/1941546</w:t>
      </w:r>
    </w:p>
    <w:p w14:paraId="12993F1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Silvertown J (2009) A new dawn for citizen science. Trends Ecol Evol 24:467–471. doi: 10.1016/J.TREE.2009.03.017</w:t>
      </w:r>
    </w:p>
    <w:p w14:paraId="1C166020"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21726E6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3E019FB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Worley B, Powers R (2016) PCA as a Practical Indicator of OPLS-DA Model Reliability. Curr Metabolomics 4:97–103. doi: 10.2174/2213235X04666160613122429</w:t>
      </w:r>
    </w:p>
    <w:p w14:paraId="5F59CBFB" w14:textId="77777777" w:rsidR="001146E8" w:rsidRPr="001146E8" w:rsidRDefault="001146E8" w:rsidP="001146E8">
      <w:pPr>
        <w:widowControl w:val="0"/>
        <w:autoSpaceDE w:val="0"/>
        <w:autoSpaceDN w:val="0"/>
        <w:adjustRightInd w:val="0"/>
        <w:spacing w:before="180" w:after="180"/>
        <w:ind w:left="480" w:hanging="480"/>
        <w:rPr>
          <w:rFonts w:ascii="Cambria" w:hAnsi="Cambria"/>
          <w:noProof/>
        </w:rPr>
      </w:pPr>
      <w:r w:rsidRPr="001146E8">
        <w:rPr>
          <w:rFonts w:ascii="Cambria" w:hAnsi="Cambria" w:cs="Times New Roman"/>
          <w:noProof/>
        </w:rPr>
        <w:t>Wright IJ, Reich PB, Westoby M, et al (2004) The worldwide leaf economics spectrum. Nature 428:821–827</w:t>
      </w:r>
    </w:p>
    <w:p w14:paraId="0A63E2CC" w14:textId="27E25081" w:rsidR="005916EF" w:rsidRDefault="005916EF" w:rsidP="001146E8">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18E2736E" w:rsidR="00F555C0" w:rsidRDefault="00F555C0" w:rsidP="00F555C0">
      <w:pPr>
        <w:pStyle w:val="Heading1"/>
      </w:pPr>
      <w:r>
        <w:t>Writing graveyard:</w:t>
      </w:r>
    </w:p>
    <w:p w14:paraId="4272F4F0" w14:textId="4F2B7AF2" w:rsidR="00C642C9" w:rsidRDefault="00C642C9" w:rsidP="00C642C9">
      <w:pPr>
        <w:pStyle w:val="BodyText"/>
      </w:pPr>
    </w:p>
    <w:p w14:paraId="16E72091" w14:textId="77777777" w:rsidR="00C642C9" w:rsidRDefault="00C642C9" w:rsidP="00C642C9">
      <w:pPr>
        <w:pStyle w:val="FirstParagraph"/>
        <w:spacing w:line="360" w:lineRule="auto"/>
      </w:pPr>
      <w:r>
        <w:t>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This method may be sufficient in some situations, especially when latent variables created by unsupervised analyses (e.g. principal component axes) are interpretable.  When latent variables aren’t interpretable (e.g. a mix of seemingly biologically unrelated variables) or 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521874FF" w14:textId="0F4D47BC" w:rsidR="00C642C9" w:rsidRDefault="00C642C9" w:rsidP="00C642C9">
      <w:pPr>
        <w:pStyle w:val="BodyText"/>
      </w:pPr>
    </w:p>
    <w:p w14:paraId="22C5BCC2" w14:textId="77777777" w:rsidR="00C642C9" w:rsidRPr="00C642C9" w:rsidRDefault="00C642C9" w:rsidP="00C642C9">
      <w:pPr>
        <w:pStyle w:val="BodyText"/>
      </w:pP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lastRenderedPageBreak/>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patterns of variation.  </w:t>
      </w:r>
      <w:commentRangeStart w:id="21"/>
      <w:r>
        <w:t>However, PCA is an unsupervised technique, that is, it is agnostic to any grouping or treatment</w:t>
      </w:r>
      <w:commentRangeEnd w:id="21"/>
      <w:r>
        <w:rPr>
          <w:rStyle w:val="CommentReference"/>
        </w:rPr>
        <w:commentReference w:id="21"/>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 The underlying assumption of PLS is that covariation between the predictor variable(s) and the response variable(s) is due to a small number of “latent” variables.  For this reason, the technique has been readily adopted by 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22"/>
      <w:r>
        <w:t>data can be analyzed in two fundamentally different ways—unsupervised, and supervised analyses</w:t>
      </w:r>
      <w:commentRangeEnd w:id="22"/>
      <w:r>
        <w:rPr>
          <w:rStyle w:val="CommentReference"/>
        </w:rPr>
        <w:commentReference w:id="22"/>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 xml:space="preserve">Although unsupervised analyses can’t be used to discriminate groups or find relationships in and of themselves, the latent variables they produce are sometimes used by ecologists in further analyses with the intent of discriminating groups.  For example, one might test if </w:t>
      </w:r>
      <w:r>
        <w:lastRenderedPageBreak/>
        <w:t>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23"/>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commentRangeEnd w:id="23"/>
      <w:r>
        <w:rPr>
          <w:rStyle w:val="CommentReference"/>
        </w:rPr>
        <w:commentReference w:id="23"/>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xml:space="preserve">. [EXPLAIN MULTICOLLINEARITY]. PERMANOVA, which is (maybe???) an extension of redundancy analysis, is able to [do some things well], but it requires a distance matrix as an input, and therefore you lose all information about </w:t>
      </w:r>
      <w:r>
        <w:lastRenderedPageBreak/>
        <w:t>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1B21649C" w14:textId="77777777" w:rsidR="00BE6A21" w:rsidRPr="003158C8" w:rsidRDefault="00BE6A21" w:rsidP="00BE6A21">
      <w:pPr>
        <w:pStyle w:val="BodyText"/>
        <w:spacing w:line="360" w:lineRule="auto"/>
      </w:pPr>
    </w:p>
    <w:p w14:paraId="6B1D757C" w14:textId="77777777" w:rsidR="00BE6A21" w:rsidRDefault="00BE6A21" w:rsidP="00BE6A21">
      <w:pPr>
        <w:pStyle w:val="Heading2"/>
      </w:pPr>
      <w:bookmarkStart w:id="24" w:name="cupcakes-vs.muffins-methods"/>
      <w:bookmarkEnd w:id="24"/>
      <w:r>
        <w:t>Cupcakes vs. Muffins methods</w:t>
      </w:r>
    </w:p>
    <w:p w14:paraId="6430F474" w14:textId="77777777" w:rsidR="00BE6A21" w:rsidRDefault="00BE6A21" w:rsidP="00BE6A21">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51F013F" w14:textId="77777777" w:rsidR="00BE6A21" w:rsidRDefault="00BE6A21" w:rsidP="00BE6A21">
      <w:pPr>
        <w:pStyle w:val="BodyText"/>
        <w:spacing w:line="360" w:lineRule="auto"/>
      </w:pPr>
      <w:r>
        <w:lastRenderedPageBreak/>
        <w:t>I should also do PLS regression on calories per serving and include that instead or in addition to the cupcakes vs. muffins plots.</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6" w:author="Scott, Eric R. [2]" w:date="2019-02-13T10:41:00Z" w:initials="SER">
    <w:p w14:paraId="5739532B" w14:textId="77777777" w:rsidR="007F1BD2" w:rsidRDefault="007F1BD2" w:rsidP="007F1BD2">
      <w:pPr>
        <w:pStyle w:val="CommentText"/>
      </w:pPr>
      <w:r>
        <w:rPr>
          <w:rStyle w:val="CommentReference"/>
        </w:rPr>
        <w:annotationRef/>
      </w:r>
      <w:r>
        <w:t>Add reference when Mendeley works again</w:t>
      </w:r>
    </w:p>
  </w:comment>
  <w:comment w:id="7" w:author="Scott, Eric R. [2]" w:date="2019-02-13T10:16:00Z" w:initials="SER">
    <w:p w14:paraId="4D3875AE" w14:textId="77777777" w:rsidR="007F1BD2" w:rsidRDefault="007F1BD2" w:rsidP="007F1BD2">
      <w:pPr>
        <w:pStyle w:val="CommentText"/>
      </w:pPr>
      <w:r>
        <w:rPr>
          <w:rStyle w:val="CommentReference"/>
        </w:rPr>
        <w:annotationRef/>
      </w:r>
      <w:r>
        <w:t xml:space="preserve">Wouldn’t it be more likely to get a low p-value if R2Y and Q2 were low?  Because a Q2 close to zero is likely to happen just by chance anyway.  </w:t>
      </w:r>
      <w:proofErr w:type="gramStart"/>
      <w:r>
        <w:t>So</w:t>
      </w:r>
      <w:proofErr w:type="gramEnd"/>
      <w:r>
        <w:t xml:space="preserve"> I think you want R2Y and Q2 to be high AND not high just by chance.  Hmm… I should think about how to best explain this.</w:t>
      </w:r>
    </w:p>
  </w:comment>
  <w:comment w:id="5" w:author="Scott, Eric R. [2]" w:date="2019-02-13T10:51:00Z" w:initials="SER">
    <w:p w14:paraId="0A0784FB" w14:textId="77777777" w:rsidR="007F1BD2" w:rsidRDefault="007F1BD2" w:rsidP="007F1BD2">
      <w:pPr>
        <w:pStyle w:val="CommentText"/>
      </w:pPr>
      <w:r>
        <w:rPr>
          <w:rStyle w:val="CommentReference"/>
        </w:rPr>
        <w:annotationRef/>
      </w:r>
      <w:r>
        <w:t>Insert actual results for example dataset, whatever that may be.</w:t>
      </w:r>
    </w:p>
  </w:comment>
  <w:comment w:id="9" w:author="Scott, Eric R. [2]" w:date="2018-11-20T10:06:00Z" w:initials="SER">
    <w:p w14:paraId="36A9CB26" w14:textId="5D6B0D40"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r w:rsidR="00144973">
        <w:t xml:space="preserve">  It could be viewed as a less extreme version of the needle in a haystack scenario.</w:t>
      </w:r>
    </w:p>
  </w:comment>
  <w:comment w:id="11" w:author="Scott, Eric R. [2]" w:date="2019-01-15T13:48:00Z" w:initials="SER">
    <w:p w14:paraId="019F5155" w14:textId="7B629654" w:rsidR="00F43EFB" w:rsidRDefault="00F43EFB">
      <w:pPr>
        <w:pStyle w:val="CommentText"/>
      </w:pPr>
      <w:r>
        <w:rPr>
          <w:rStyle w:val="CommentReference"/>
        </w:rPr>
        <w:annotationRef/>
      </w:r>
      <w:r>
        <w:t>More?</w:t>
      </w:r>
    </w:p>
  </w:comment>
  <w:comment w:id="14" w:author="Scott, Eric R. [2]" w:date="2019-02-08T10:45:00Z" w:initials="SER">
    <w:p w14:paraId="48725F48" w14:textId="708B779A" w:rsidR="004A40EB" w:rsidRDefault="004A40EB">
      <w:pPr>
        <w:pStyle w:val="CommentText"/>
      </w:pPr>
      <w:r>
        <w:rPr>
          <w:rStyle w:val="CommentReference"/>
        </w:rPr>
        <w:annotationRef/>
      </w:r>
      <w:r>
        <w:t>I’m not entirely sure about this</w:t>
      </w:r>
      <w:r w:rsidR="00144973">
        <w:t>, but I have a feeling that the lower the Q2 value is, the lower the p-value will be.  For example, if your Q2 value is 0, it’s actually pretty unlikely that you’ll get a value lower than that with randomly permuted data (because of math, not because of the data), so the p-value would be low.</w:t>
      </w:r>
    </w:p>
  </w:comment>
  <w:comment w:id="15" w:author="Scott, Eric R. [2]" w:date="2019-02-21T13:15:00Z" w:initials="SER">
    <w:p w14:paraId="50B8A296" w14:textId="2191176F" w:rsidR="00B164EB" w:rsidRDefault="00B164EB">
      <w:pPr>
        <w:pStyle w:val="CommentText"/>
      </w:pPr>
      <w:r>
        <w:rPr>
          <w:rStyle w:val="CommentReference"/>
        </w:rPr>
        <w:annotationRef/>
      </w:r>
      <w:r>
        <w:t>Need to add a scale.  Red is more positively correlated, blue is more negatively correlated, white is 0</w:t>
      </w:r>
    </w:p>
  </w:comment>
  <w:comment w:id="16" w:author="Scott, Eric R. [2]" w:date="2019-02-21T14:32:00Z" w:initials="SER">
    <w:p w14:paraId="4D0031CF" w14:textId="4C15AECA" w:rsidR="00144973" w:rsidRDefault="00144973">
      <w:pPr>
        <w:pStyle w:val="CommentText"/>
      </w:pPr>
      <w:r>
        <w:rPr>
          <w:rStyle w:val="CommentReference"/>
        </w:rPr>
        <w:annotationRef/>
      </w:r>
      <w:r>
        <w:t xml:space="preserve">Make a table with mean kappa ± </w:t>
      </w:r>
      <w:proofErr w:type="spellStart"/>
      <w:r>
        <w:t>sd</w:t>
      </w:r>
      <w:proofErr w:type="spellEnd"/>
      <w:r>
        <w:t xml:space="preserve"> for PCA and PLS under each data scenario.  Consider adding red herring, although not sure which variables should count as discriminating</w:t>
      </w:r>
    </w:p>
  </w:comment>
  <w:comment w:id="18"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21"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It could be “people do wacky things with PCA when they really shouldn’t.  Maybe the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p>
  </w:comment>
  <w:comment w:id="22"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23"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5739532B" w15:done="0"/>
  <w15:commentEx w15:paraId="4D3875AE" w15:done="0"/>
  <w15:commentEx w15:paraId="0A0784FB" w15:done="0"/>
  <w15:commentEx w15:paraId="36A9CB26" w15:done="0"/>
  <w15:commentEx w15:paraId="019F5155" w15:done="0"/>
  <w15:commentEx w15:paraId="48725F48" w15:done="0"/>
  <w15:commentEx w15:paraId="50B8A296" w15:done="0"/>
  <w15:commentEx w15:paraId="4D0031CF"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5739532B" w16cid:durableId="200E72CB"/>
  <w16cid:commentId w16cid:paraId="4D3875AE" w16cid:durableId="200E6CE6"/>
  <w16cid:commentId w16cid:paraId="0A0784FB" w16cid:durableId="200E7533"/>
  <w16cid:commentId w16cid:paraId="36A9CB26" w16cid:durableId="1F9E5B3E"/>
  <w16cid:commentId w16cid:paraId="019F5155" w16cid:durableId="1FE86316"/>
  <w16cid:commentId w16cid:paraId="48725F48" w16cid:durableId="2007DC30"/>
  <w16cid:commentId w16cid:paraId="50B8A296" w16cid:durableId="20192306"/>
  <w16cid:commentId w16cid:paraId="4D0031CF" w16cid:durableId="201934F3"/>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ACBAD" w14:textId="77777777" w:rsidR="000C3478" w:rsidRDefault="000C3478">
      <w:pPr>
        <w:spacing w:after="0"/>
      </w:pPr>
      <w:r>
        <w:separator/>
      </w:r>
    </w:p>
  </w:endnote>
  <w:endnote w:type="continuationSeparator" w:id="0">
    <w:p w14:paraId="6F1BA3E2" w14:textId="77777777" w:rsidR="000C3478" w:rsidRDefault="000C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5D1A" w14:textId="77777777" w:rsidR="000C3478" w:rsidRDefault="000C3478">
      <w:r>
        <w:separator/>
      </w:r>
    </w:p>
  </w:footnote>
  <w:footnote w:type="continuationSeparator" w:id="0">
    <w:p w14:paraId="15EC527D" w14:textId="77777777" w:rsidR="000C3478" w:rsidRDefault="000C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C3478"/>
    <w:rsid w:val="001146E8"/>
    <w:rsid w:val="00144973"/>
    <w:rsid w:val="0016186D"/>
    <w:rsid w:val="001668E5"/>
    <w:rsid w:val="0018671C"/>
    <w:rsid w:val="00190643"/>
    <w:rsid w:val="001A74DB"/>
    <w:rsid w:val="001C2C57"/>
    <w:rsid w:val="001F37AC"/>
    <w:rsid w:val="001F499F"/>
    <w:rsid w:val="00217FB9"/>
    <w:rsid w:val="00224800"/>
    <w:rsid w:val="00251F50"/>
    <w:rsid w:val="00255993"/>
    <w:rsid w:val="00257735"/>
    <w:rsid w:val="00292305"/>
    <w:rsid w:val="002B04D6"/>
    <w:rsid w:val="002B216C"/>
    <w:rsid w:val="003158C8"/>
    <w:rsid w:val="00317B15"/>
    <w:rsid w:val="00326C22"/>
    <w:rsid w:val="00367C82"/>
    <w:rsid w:val="00393E1C"/>
    <w:rsid w:val="003A0F24"/>
    <w:rsid w:val="003A3887"/>
    <w:rsid w:val="003B60BF"/>
    <w:rsid w:val="004131C0"/>
    <w:rsid w:val="00433330"/>
    <w:rsid w:val="00441AFF"/>
    <w:rsid w:val="00452CFE"/>
    <w:rsid w:val="00462571"/>
    <w:rsid w:val="00484B1D"/>
    <w:rsid w:val="0048778F"/>
    <w:rsid w:val="00497837"/>
    <w:rsid w:val="004A40EB"/>
    <w:rsid w:val="004D4BCE"/>
    <w:rsid w:val="004E29B3"/>
    <w:rsid w:val="004F7027"/>
    <w:rsid w:val="00535647"/>
    <w:rsid w:val="00552F34"/>
    <w:rsid w:val="00556ADB"/>
    <w:rsid w:val="00590D07"/>
    <w:rsid w:val="005916EF"/>
    <w:rsid w:val="005B0704"/>
    <w:rsid w:val="005E58AB"/>
    <w:rsid w:val="005F687C"/>
    <w:rsid w:val="00604AA8"/>
    <w:rsid w:val="00621F92"/>
    <w:rsid w:val="00632140"/>
    <w:rsid w:val="0064107D"/>
    <w:rsid w:val="0065198D"/>
    <w:rsid w:val="006544EF"/>
    <w:rsid w:val="0066160A"/>
    <w:rsid w:val="00691785"/>
    <w:rsid w:val="006A3824"/>
    <w:rsid w:val="006E33FE"/>
    <w:rsid w:val="006E569C"/>
    <w:rsid w:val="007174F2"/>
    <w:rsid w:val="00720566"/>
    <w:rsid w:val="00784D58"/>
    <w:rsid w:val="00785AB2"/>
    <w:rsid w:val="007A3486"/>
    <w:rsid w:val="007F1BD2"/>
    <w:rsid w:val="00802A62"/>
    <w:rsid w:val="00826C2C"/>
    <w:rsid w:val="0083131C"/>
    <w:rsid w:val="00875959"/>
    <w:rsid w:val="008A2E27"/>
    <w:rsid w:val="008D6863"/>
    <w:rsid w:val="00953F83"/>
    <w:rsid w:val="00984218"/>
    <w:rsid w:val="009B10BD"/>
    <w:rsid w:val="009B1C7C"/>
    <w:rsid w:val="009C1900"/>
    <w:rsid w:val="009E18A0"/>
    <w:rsid w:val="00A0073C"/>
    <w:rsid w:val="00A15DA5"/>
    <w:rsid w:val="00A71442"/>
    <w:rsid w:val="00A716B7"/>
    <w:rsid w:val="00A97650"/>
    <w:rsid w:val="00AA61C7"/>
    <w:rsid w:val="00AA6996"/>
    <w:rsid w:val="00AE1D74"/>
    <w:rsid w:val="00AE1E1E"/>
    <w:rsid w:val="00AF1172"/>
    <w:rsid w:val="00B12F2E"/>
    <w:rsid w:val="00B1379D"/>
    <w:rsid w:val="00B164EB"/>
    <w:rsid w:val="00B86B75"/>
    <w:rsid w:val="00BA0862"/>
    <w:rsid w:val="00BC48D5"/>
    <w:rsid w:val="00BD1B4F"/>
    <w:rsid w:val="00BE6A21"/>
    <w:rsid w:val="00C054D3"/>
    <w:rsid w:val="00C36279"/>
    <w:rsid w:val="00C50D52"/>
    <w:rsid w:val="00C642C9"/>
    <w:rsid w:val="00C67D42"/>
    <w:rsid w:val="00C67F7A"/>
    <w:rsid w:val="00C94D92"/>
    <w:rsid w:val="00CA1D78"/>
    <w:rsid w:val="00CD4FB8"/>
    <w:rsid w:val="00D60962"/>
    <w:rsid w:val="00D729C0"/>
    <w:rsid w:val="00DB0064"/>
    <w:rsid w:val="00DB20B9"/>
    <w:rsid w:val="00DE46B2"/>
    <w:rsid w:val="00DE5281"/>
    <w:rsid w:val="00DE7CA4"/>
    <w:rsid w:val="00E256CD"/>
    <w:rsid w:val="00E315A3"/>
    <w:rsid w:val="00E50AE8"/>
    <w:rsid w:val="00E81744"/>
    <w:rsid w:val="00F06C9A"/>
    <w:rsid w:val="00F43EFB"/>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A2E5-AF07-C245-A369-9B635FD6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20</Pages>
  <Words>14094</Words>
  <Characters>80336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94242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34</cp:revision>
  <dcterms:created xsi:type="dcterms:W3CDTF">2018-07-02T14:57:00Z</dcterms:created>
  <dcterms:modified xsi:type="dcterms:W3CDTF">2019-02-21T19:35:00Z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http://www.zotero.org/styles/environmental-and-experimental-botany</vt:lpwstr>
  </property>
  <property fmtid="{D5CDD505-2E9C-101B-9397-08002B2CF9AE}" pid="9" name="Mendeley Recent Style Name 3_1">
    <vt:lpwstr>Environmental and Experimental Botany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