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03154" w14:textId="77777777" w:rsidR="00875959" w:rsidRDefault="00FA73C9">
      <w:pPr>
        <w:pStyle w:val="Heading1"/>
      </w:pPr>
      <w:bookmarkStart w:id="0" w:name="data-sets"/>
      <w:bookmarkEnd w:id="0"/>
      <w:r>
        <w:t>Introduction</w:t>
      </w:r>
    </w:p>
    <w:p w14:paraId="63F12C58" w14:textId="32B73A52" w:rsidR="00433330" w:rsidRDefault="00FA73C9" w:rsidP="006E33FE">
      <w:pPr>
        <w:pStyle w:val="FirstParagraph"/>
        <w:spacing w:line="360" w:lineRule="auto"/>
      </w:pPr>
      <w:r>
        <w:t>In recent years, the scale of data available for ecological research has increased due to advancements in high-throughput sampling technology</w:t>
      </w:r>
      <w:r w:rsidR="00433330">
        <w:t xml:space="preserve"> </w:t>
      </w:r>
      <w:r w:rsidR="00367C82">
        <w:fldChar w:fldCharType="begin" w:fldLock="1"/>
      </w:r>
      <w:r w:rsidR="00367C82">
        <w:instrText>ADDIN CSL_CITATION {"citationItems":[{"id":"ITEM-1","itemData":{"DOI":"10.1021/acs.jafc.7b02847","ISSN":"0021-8561","abstract":"Plants produce volatile organic compounds (VOCs) with diverse structures and functions, which change in response to environmental stimuli and have important consequences for interactions with other organisms. To understand these changes, in situ sampling is necessary. In contrast to dynamic headspace (DHS), which is the most often employed method, direct contact sampling employing a magnetic stir bar held in place by a magnet eliminates artifacts produced by enclosing plant materials in glass or plastic chambers. Direct-contact sorptive extraction (DCSE) using polydimethylsiloxane coated stir bars (Twisters) coated stir bars is more sensitive than DHS, captures a wider range of compounds, minimizes VOC collection from neighboring plants, and distinguishes the effects of herbivory in controlled and field conditions. Because DCSE is relatively inexpensive and simple to employ, scalability of field trials can be expanded concomitant with increased sample replication. The sensitivity of DCSE combined with the spectral deconvolution data analysis software makes the two ideal for comprehensive, in situ profiling of plant volatiles.","author":[{"dropping-particle":"","family":"Kfoury","given":"Nicole","non-dropping-particle":"","parse-names":false,"suffix":""},{"dropping-particle":"","family":"Scott","given":"Eric","non-dropping-particle":"","parse-names":false,"suffix":""},{"dropping-particle":"","family":"Orians","given":"Colin","non-dropping-particle":"","parse-names":false,"suffix":""},{"dropping-particle":"","family":"Robbat","given":"Albert","non-dropping-particle":"","parse-names":false,"suffix":""}],"container-title":"Journal of Agricultural and Food Chemistry","id":"ITEM-1","issue":"38","issued":{"date-parts":[["2017","9","27"]]},"page":"8501-8509","title":"Direct Contact Sorptive Extraction: A Robust Method for Sampling Plant Volatiles in the Field","type":"article-journal","volume":"65"},"uris":["http://www.mendeley.com/documents/?uuid=08bff69c-bc1f-3a76-bbac-c98d3a081fd9"]},{"id":"ITEM-2","itemData":{"DOI":"10.1111/tpj.12523","ISSN":"09607412","author":[{"dropping-particle":"","family":"Kallenbach","given":"Mario","non-dropping-particle":"","parse-names":false,"suffix":""},{"dropping-particle":"","family":"Oh","given":"Youngjoo","non-dropping-particle":"","parse-names":false,"suffix":""},{"dropping-particle":"","family":"Eilers","given":"Elisabeth J.","non-dropping-particle":"","parse-names":false,"suffix":""},{"dropping-particle":"","family":"Veit","given":"Daniel","non-dropping-particle":"","parse-names":false,"suffix":""},{"dropping-particle":"","family":"Baldwin","given":"Ian T.","non-dropping-particle":"","parse-names":false,"suffix":""},{"dropping-particle":"","family":"Schuman","given":"Meredith C.","non-dropping-particle":"","parse-names":false,"suffix":""}],"container-title":"The Plant Journal","id":"ITEM-2","issue":"6","issued":{"date-parts":[["2014","6"]]},"page":"1060-1072","publisher":"Wiley/Blackwell (10.1111)","title":"A robust, simple, high-throughput technique for time-resolved plant volatile analysis in field experiments","type":"article-journal","volume":"78"},"uris":["http://www.mendeley.com/documents/?uuid=b70d0ed8-b6d2-377f-a7d0-b720b682e83b"]}],"mendeley":{"formattedCitation":"(Kallenbach et al. 2014; Kfoury et al. 2017)","plainTextFormattedCitation":"(Kallenbach et al. 2014; Kfoury et al. 2017)","previouslyFormattedCitation":"(Kallenbach et al. 2014; Kfoury et al. 2017)"},"properties":{"noteIndex":0},"schema":"https://github.com/citation-style-language/schema/raw/master/csl-citation.json"}</w:instrText>
      </w:r>
      <w:r w:rsidR="00367C82">
        <w:fldChar w:fldCharType="separate"/>
      </w:r>
      <w:r w:rsidR="00367C82" w:rsidRPr="00367C82">
        <w:rPr>
          <w:noProof/>
        </w:rPr>
        <w:t>(Kallenbach et al. 2014; Kfoury et al. 2017)</w:t>
      </w:r>
      <w:r w:rsidR="00367C82">
        <w:fldChar w:fldCharType="end"/>
      </w:r>
      <w:r>
        <w:t>, image processing</w:t>
      </w:r>
      <w:r w:rsidR="00367C82">
        <w:t xml:space="preserve"> </w:t>
      </w:r>
      <w:r w:rsidR="00367C82">
        <w:fldChar w:fldCharType="begin" w:fldLock="1"/>
      </w:r>
      <w:r w:rsidR="0066160A">
        <w:instrText>ADDIN CSL_CITATION {"citationItems":[{"id":"ITEM-1","itemData":{"DOI":"10.1016/J.PBI.2015.02.006","ISSN":"1369-5266","abstract":"Anticipated population growth, shifting demographics, and environmental variability over the next century are expected to threaten global food security. In the face of these challenges, crop yield for food and fuel must be maintained and improved using fewer input resources. In recent years, genetic tools for profiling crop germplasm has benefited from rapid advances in DNA sequencing, and now similar advances are needed to improve the throughput of plant phenotyping. We highlight recent developments in high-throughput plant phenotyping using robotic-assisted imaging platforms and computer vision-assisted analysis tools.","author":[{"dropping-particle":"","family":"Fahlgren","given":"Noah","non-dropping-particle":"","parse-names":false,"suffix":""},{"dropping-particle":"","family":"Gehan","given":"Malia A","non-dropping-particle":"","parse-names":false,"suffix":""},{"dropping-particle":"","family":"Baxter","given":"Ivan","non-dropping-particle":"","parse-names":false,"suffix":""}],"container-title":"Current Opinion in Plant Biology","id":"ITEM-1","issued":{"date-parts":[["2015","4","1"]]},"page":"93-99","publisher":"Elsevier Current Trends","title":"Lights, camera, action: high-throughput plant phenotyping is ready for a close-up","type":"article-journal","volume":"24"},"uris":["http://www.mendeley.com/documents/?uuid=e08fc31d-3eb8-3afe-813f-2571edba3791"]},{"id":"ITEM-2","itemData":{"DOI":"10.1093/jxb/erq201","ISSN":"0022-0957","author":[{"dropping-particle":"","family":"Berger","given":"B.","non-dropping-particle":"","parse-names":false,"suffix":""},{"dropping-particle":"","family":"Parent","given":"B.","non-dropping-particle":"","parse-names":false,"suffix":""},{"dropping-particle":"","family":"Tester","given":"M.","non-dropping-particle":"","parse-names":false,"suffix":""}],"container-title":"Journal of Experimental Botany","id":"ITEM-2","issue":"13","issued":{"date-parts":[["2010","8","1"]]},"page":"3519-3528","publisher":"Oxford University Press","title":"High-throughput shoot imaging to study drought responses","type":"article-journal","volume":"61"},"uris":["http://www.mendeley.com/documents/?uuid=1e3343f6-c48d-3ddd-8df8-2216abeb9abb"]}],"mendeley":{"formattedCitation":"(Berger et al. 2010; Fahlgren et al. 2015)","plainTextFormattedCitation":"(Berger et al. 2010; Fahlgren et al. 2015)","previouslyFormattedCitation":"(Berger et al. 2010; Fahlgren et al. 2015)"},"properties":{"noteIndex":0},"schema":"https://github.com/citation-style-language/schema/raw/master/csl-citation.json"}</w:instrText>
      </w:r>
      <w:r w:rsidR="00367C82">
        <w:fldChar w:fldCharType="separate"/>
      </w:r>
      <w:r w:rsidR="00367C82" w:rsidRPr="00367C82">
        <w:rPr>
          <w:noProof/>
        </w:rPr>
        <w:t>(Berger et al. 2010; Fahlgren et al. 2015)</w:t>
      </w:r>
      <w:r w:rsidR="00367C82">
        <w:fldChar w:fldCharType="end"/>
      </w:r>
      <w:r w:rsidR="00367C82">
        <w:t>,</w:t>
      </w:r>
      <w:r>
        <w:t xml:space="preserve"> automated </w:t>
      </w:r>
      <w:r w:rsidR="00367C82">
        <w:t xml:space="preserve">and remote </w:t>
      </w:r>
      <w:r>
        <w:t xml:space="preserve">data logging </w:t>
      </w:r>
      <w:r w:rsidR="0066160A">
        <w:fldChar w:fldCharType="begin" w:fldLock="1"/>
      </w:r>
      <w:r w:rsidR="0066160A">
        <w:instrText>ADDIN CSL_CITATION {"citationItems":[{"id":"ITEM-1","itemData":{"DOI":"10.1641/0006-3568(2005)055[0561:wsnfe]2.0.co;2","ISSN":"0006-3568","author":[{"dropping-particle":"","family":"Porter","given":"John","non-dropping-particle":"","parse-names":false,"suffix":""},{"dropping-particle":"","family":"Arzberger","given":"Peter","non-dropping-particle":"","parse-names":false,"suffix":""},{"dropping-particle":"","family":"Braun","given":"Hans-Werner","non-dropping-particle":"","parse-names":false,"suffix":""},{"dropping-particle":"","family":"Bryant","given":"Pablo","non-dropping-particle":"","parse-names":false,"suffix":""},{"dropping-particle":"","family":"Gage","given":"Stuart","non-dropping-particle":"","parse-names":false,"suffix":""},{"dropping-particle":"","family":"Hansen","given":"Todd","non-dropping-particle":"","parse-names":false,"suffix":""},{"dropping-particle":"","family":"Hanson","given":"Paul","non-dropping-particle":"","parse-names":false,"suffix":""},{"dropping-particle":"","family":"Lin","given":"Chau-Chin","non-dropping-particle":"","parse-names":false,"suffix":""},{"dropping-particle":"","family":"Lin","given":"Fang-Pang","non-dropping-particle":"","parse-names":false,"suffix":""},{"dropping-particle":"","family":"Kratz","given":"Timothy","non-dropping-particle":"","parse-names":false,"suffix":""},{"dropping-particle":"","family":"Michener","given":"William","non-dropping-particle":"","parse-names":false,"suffix":""},{"dropping-particle":"","family":"Shapiro","given":"Sedra","non-dropping-particle":"","parse-names":false,"suffix":""},{"dropping-particle":"","family":"Williams","given":"Thomas","non-dropping-particle":"","parse-names":false,"suffix":""}],"container-title":"BioScience","id":"ITEM-1","issue":"7","issued":{"date-parts":[["2005","7","1"]]},"page":"561-572","publisher":"Oxford University Press","title":"Wireless Sensor Networks for Ecology","type":"article-journal","volume":"55"},"uris":["http://www.mendeley.com/documents/?uuid=9f13ddec-4d05-30d3-a1a5-6876b4fff426"]},{"id":"ITEM-2","itemData":{"DOI":"10.1016/J.TREE.2004.04.003","ISSN":"0169-5347","abstract":"Remote measurement of the physiology, behaviour and energetic status of free-living animals is made possible by a variety of techniques that we refer to collectively as ‘biotelemetry’. This set of tools ranges from transmitters that send their signals to receivers up to a few kilometers away to those that send data to orbiting satellites and, more frequently, to devices that log data. They enable researchers to document, for long uninterrupted periods, how undisturbed organisms interact with each other and their environment in real time. In spite of advances enabling the monitoring of many physiological and behavioural variables across a range of taxa of various sizes, these devices have yet to be embraced widely by the ecological community. Our review suggests that this technology has immense potential for research in basic and applied animal ecology. Efforts to incorporate biotelemetry into broader ecological research programs should yield novel information that has been challenging to collect historically from free-ranging animals in their natural environments. Examples of research that would benefit from biotelemetry include the assessment of animal responses to different anthropogenic perturbations and the development of life-time energy budgets.","author":[{"dropping-particle":"","family":"Cooke","given":"Steven J.","non-dropping-particle":"","parse-names":false,"suffix":""},{"dropping-particle":"","family":"Hinch","given":"Scott G.","non-dropping-particle":"","parse-names":false,"suffix":""},{"dropping-particle":"","family":"Wikelski","given":"Martin","non-dropping-particle":"","parse-names":false,"suffix":""},{"dropping-particle":"","family":"Andrews","given":"Russel D.","non-dropping-particle":"","parse-names":false,"suffix":""},{"dropping-particle":"","family":"Kuchel","given":"Louise J.","non-dropping-particle":"","parse-names":false,"suffix":""},{"dropping-particle":"","family":"Wolcott","given":"Thomas G.","non-dropping-particle":"","parse-names":false,"suffix":""},{"dropping-particle":"","family":"Butler","given":"Patrick J.","non-dropping-particle":"","parse-names":false,"suffix":""}],"container-title":"Trends in Ecology &amp; Evolution","id":"ITEM-2","issue":"6","issued":{"date-parts":[["2004","6","1"]]},"page":"334-343","publisher":"Elsevier Current Trends","title":"Biotelemetry: a mechanistic approach to ecology","type":"article-journal","volume":"19"},"uris":["http://www.mendeley.com/documents/?uuid=eae5ab28-2e2c-3a6d-8a41-469fec32f268"]}],"mendeley":{"formattedCitation":"(Cooke et al. 2004; Porter et al. 2005)","plainTextFormattedCitation":"(Cooke et al. 2004; Porter et al. 2005)","previouslyFormattedCitation":"(Cooke et al. 2004; Porter et al. 2005)"},"properties":{"noteIndex":0},"schema":"https://github.com/citation-style-language/schema/raw/master/csl-citation.json"}</w:instrText>
      </w:r>
      <w:r w:rsidR="0066160A">
        <w:fldChar w:fldCharType="separate"/>
      </w:r>
      <w:r w:rsidR="0066160A" w:rsidRPr="0066160A">
        <w:rPr>
          <w:noProof/>
        </w:rPr>
        <w:t>(Cooke et al. 2004; Porter et al. 2005)</w:t>
      </w:r>
      <w:r w:rsidR="0066160A">
        <w:fldChar w:fldCharType="end"/>
      </w:r>
      <w:r w:rsidR="00367C82">
        <w:t>,</w:t>
      </w:r>
      <w:r w:rsidR="0066160A">
        <w:t xml:space="preserve"> remote sensing </w:t>
      </w:r>
      <w:r w:rsidR="0066160A">
        <w:fldChar w:fldCharType="begin" w:fldLock="1"/>
      </w:r>
      <w:r w:rsidR="0066160A">
        <w:instrText>ADDIN CSL_CITATION {"citationItems":[{"id":"ITEM-1","itemData":{"DOI":"10.1191/030913305pp437pr","ISSN":"0309-1333","author":[{"dropping-particle":"","family":"Aplin","given":"Paul","non-dropping-particle":"","parse-names":false,"suffix":""}],"container-title":"Progress in Physical Geography","id":"ITEM-1","issue":"1","issued":{"date-parts":[["2005","3","18"]]},"page":"104-113","publisher":"Sage PublicationsSage CA: Thousand Oaks, CA","title":"Remote sensing: ecology","type":"article-journal","volume":"29"},"uris":["http://www.mendeley.com/documents/?uuid=e14a2490-104e-35a1-aee0-cad920624655"]},{"id":"ITEM-2","itemData":{"DOI":"10.2307/1941546","ISSN":"00129658","author":[{"dropping-particle":"","family":"Roughgarden","given":"J.","non-dropping-particle":"","parse-names":false,"suffix":""},{"dropping-particle":"","family":"Running","given":"S. W.","non-dropping-particle":"","parse-names":false,"suffix":""},{"dropping-particle":"","family":"Matson","given":"P. A.","non-dropping-particle":"","parse-names":false,"suffix":""}],"container-title":"Ecology","id":"ITEM-2","issue":"6","issued":{"date-parts":[["1991","12"]]},"page":"1918-1922","publisher":"Wiley-Blackwell","title":"What Does Remote Sensing Do For Ecology?","type":"article-journal","volume":"72"},"uris":["http://www.mendeley.com/documents/?uuid=81539540-11a6-33cc-a575-5dab1c9b0a70"]}],"mendeley":{"formattedCitation":"(Roughgarden et al. 1991; Aplin 2005)","plainTextFormattedCitation":"(Roughgarden et al. 1991; Aplin 2005)","previouslyFormattedCitation":"(Roughgarden et al. 1991; Aplin 2005)"},"properties":{"noteIndex":0},"schema":"https://github.com/citation-style-language/schema/raw/master/csl-citation.json"}</w:instrText>
      </w:r>
      <w:r w:rsidR="0066160A">
        <w:fldChar w:fldCharType="separate"/>
      </w:r>
      <w:r w:rsidR="0066160A" w:rsidRPr="0066160A">
        <w:rPr>
          <w:noProof/>
        </w:rPr>
        <w:t>(Roughgarden et al. 1991; Aplin 2005)</w:t>
      </w:r>
      <w:r w:rsidR="0066160A">
        <w:fldChar w:fldCharType="end"/>
      </w:r>
      <w:r>
        <w:t>,</w:t>
      </w:r>
      <w:r w:rsidR="00367C82">
        <w:t xml:space="preserve"> high-throughput sequencing </w:t>
      </w:r>
      <w:commentRangeStart w:id="1"/>
      <w:r w:rsidR="00367C82">
        <w:t>technologies</w:t>
      </w:r>
      <w:commentRangeEnd w:id="1"/>
      <w:r w:rsidR="00367C82">
        <w:rPr>
          <w:rStyle w:val="CommentReference"/>
        </w:rPr>
        <w:commentReference w:id="1"/>
      </w:r>
      <w:r w:rsidR="00367C82">
        <w:t xml:space="preserve"> </w:t>
      </w:r>
      <w:r w:rsidR="00367C82">
        <w:fldChar w:fldCharType="begin" w:fldLock="1"/>
      </w:r>
      <w:r w:rsidR="00367C82">
        <w:instrText>ADDIN CSL_CITATION {"citationItems":[{"id":"ITEM-1","itemData":{"DOI":"10.1186/1742-9994-6-16","ISSN":"1742-9994","abstract":"In order to understand the role of herbivores in trophic webs, it is essential to know what they feed on. Diet analysis is, however, a challenge in many small herbivores with a secretive life style. In this paper, we compare novel (high-throughput pyrosequencing) DNA barcoding technology for plant mixture with traditional microhistological method. We analysed stomach contents of two ecologically important subarctic vole species, Microtus oeconomus and Myodes rufocanus, with the two methods. DNA barcoding was conducted using the P6-loop of the chloroplast trn L (UAA) intron. Although the identified plant taxa in the diets matched relatively well between the two methods, DNA barcoding gave by far taxonomically more detailed results. Quantitative comparison of results was difficult, mainly due to low taxonomic resolution of the microhistological method, which also in part explained discrepancies between the methods. Other discrepancies were likely due to biases mostly in the microhistological analysis. We conclude that DNA barcoding opens up for new possibilities in the study of plant-herbivore interactions, giving a detailed and relatively unbiased picture of food utilization of herbivores.","author":[{"dropping-particle":"","family":"Soininen","given":"Eeva M","non-dropping-particle":"","parse-names":false,"suffix":""},{"dropping-particle":"","family":"Valentini","given":"Alice","non-dropping-particle":"","parse-names":false,"suffix":""},{"dropping-particle":"","family":"Coissac","given":"Eric","non-dropping-particle":"","parse-names":false,"suffix":""},{"dropping-particle":"","family":"Miquel","given":"Christian","non-dropping-particle":"","parse-names":false,"suffix":""},{"dropping-particle":"","family":"Gielly","given":"Ludovic","non-dropping-particle":"","parse-names":false,"suffix":""},{"dropping-particle":"","family":"Brochmann","given":"Christian","non-dropping-particle":"","parse-names":false,"suffix":""},{"dropping-particle":"","family":"Brysting","given":"Anne K","non-dropping-particle":"","parse-names":false,"suffix":""},{"dropping-particle":"","family":"Sønstebø","given":"Jørn H","non-dropping-particle":"","parse-names":false,"suffix":""},{"dropping-particle":"","family":"Ims","given":"Rolf A","non-dropping-particle":"","parse-names":false,"suffix":""},{"dropping-particle":"","family":"Yoccoz","given":"Nigel G","non-dropping-particle":"","parse-names":false,"suffix":""},{"dropping-particle":"","family":"Taberlet","given":"Pierre","non-dropping-particle":"","parse-names":false,"suffix":""}],"container-title":"Frontiers in Zoology","id":"ITEM-1","issue":"1","issued":{"date-parts":[["2009","8","20"]]},"page":"16","publisher":"BioMed Central","title":"Analysing diet of small herbivores: the efficiency of DNA barcoding coupled with high-throughput pyrosequencing for deciphering the composition of complex plant mixtures","type":"article-journal","volume":"6"},"uris":["http://www.mendeley.com/documents/?uuid=2eadb6c2-e767-3fcc-9181-f0d7ec0419eb"]}],"mendeley":{"formattedCitation":"(Soininen et al. 2009)","plainTextFormattedCitation":"(Soininen et al. 2009)","previouslyFormattedCitation":"(Soininen et al. 2009)"},"properties":{"noteIndex":0},"schema":"https://github.com/citation-style-language/schema/raw/master/csl-citation.json"}</w:instrText>
      </w:r>
      <w:r w:rsidR="00367C82">
        <w:fldChar w:fldCharType="separate"/>
      </w:r>
      <w:r w:rsidR="00367C82" w:rsidRPr="00367C82">
        <w:rPr>
          <w:noProof/>
        </w:rPr>
        <w:t>(Soininen et al. 2009)</w:t>
      </w:r>
      <w:r w:rsidR="00367C82">
        <w:fldChar w:fldCharType="end"/>
      </w:r>
      <w:r w:rsidR="00367C82">
        <w:t>,</w:t>
      </w:r>
      <w:r>
        <w:t xml:space="preserve"> and citizen science</w:t>
      </w:r>
      <w:r w:rsidR="0066160A">
        <w:t xml:space="preserve"> </w:t>
      </w:r>
      <w:r w:rsidR="0066160A">
        <w:fldChar w:fldCharType="begin" w:fldLock="1"/>
      </w:r>
      <w:r w:rsidR="0065198D">
        <w:instrText>ADDIN CSL_CITATION {"citationItems":[{"id":"ITEM-1","itemData":{"DOI":"10.1016/J.TREE.2009.03.017","ISSN":"0169-5347","abstract":"A citizen scientist is a volunteer who collects and/or processes data as part of a scientific enquiry. Projects that involve citizen scientists are burgeoning, particularly in ecology and the environmental sciences, although the roots of citizen science go back to the very beginnings of modern science itself.","author":[{"dropping-particle":"","family":"Silvertown","given":"Jonathan","non-dropping-particle":"","parse-names":false,"suffix":""}],"container-title":"Trends in Ecology &amp; Evolution","id":"ITEM-1","issue":"9","issued":{"date-parts":[["2009","9","1"]]},"page":"467-471","publisher":"Elsevier Current Trends","title":"A new dawn for citizen science","type":"article-journal","volume":"24"},"uris":["http://www.mendeley.com/documents/?uuid=30ce1fad-844a-379b-be80-3f928783e406"]},{"id":"ITEM-2","itemData":{"DOI":"10.1890/110236","ISSN":"1540-9295","author":[{"dropping-particle":"","family":"Dickinson","given":"Janis L","non-dropping-particle":"","parse-names":false,"suffix":""},{"dropping-particle":"","family":"Shirk","given":"Jennifer","non-dropping-particle":"","parse-names":false,"suffix":""},{"dropping-particle":"","family":"Bonter","given":"David","non-dropping-particle":"","parse-names":false,"suffix":""},{"dropping-particle":"","family":"Bonney","given":"Rick","non-dropping-particle":"","parse-names":false,"suffix":""},{"dropping-particle":"","family":"Crain","given":"Rhiannon L","non-dropping-particle":"","parse-names":false,"suffix":""},{"dropping-particle":"","family":"Martin","given":"Jason","non-dropping-particle":"","parse-names":false,"suffix":""},{"dropping-particle":"","family":"Phillips","given":"Tina","non-dropping-particle":"","parse-names":false,"suffix":""},{"dropping-particle":"","family":"Purcell","given":"Karen","non-dropping-particle":"","parse-names":false,"suffix":""}],"container-title":"Frontiers in Ecology and the Environment","id":"ITEM-2","issue":"6","issued":{"date-parts":[["2012","8"]]},"page":"291-297","publisher":"Wiley-Blackwell","title":"The current state of citizen science as a tool for ecological research and public engagement","type":"article-journal","volume":"10"},"uris":["http://www.mendeley.com/documents/?uuid=460a6b16-b886-3337-a533-114bf8606f3e"]},{"id":"ITEM-3","itemData":{"DOI":"10.1525/bio.2009.59.11.9","ISSN":"1525-3244","author":[{"dropping-particle":"","family":"Bonney","given":"Rick","non-dropping-particle":"","parse-names":false,"suffix":""},{"dropping-particle":"","family":"Cooper","given":"Caren B.","non-dropping-particle":"","parse-names":false,"suffix":""},{"dropping-particle":"","family":"Dickinson","given":"Janis","non-dropping-particle":"","parse-names":false,"suffix":""},{"dropping-particle":"","family":"Kelling","given":"Steve","non-dropping-particle":"","parse-names":false,"suffix":""},{"dropping-particle":"","family":"Phillips","given":"Tina","non-dropping-particle":"","parse-names":false,"suffix":""},{"dropping-particle":"V.","family":"Rosenberg","given":"Kenneth","non-dropping-particle":"","parse-names":false,"suffix":""},{"dropping-particle":"","family":"Shirk","given":"Jennifer","non-dropping-particle":"","parse-names":false,"suffix":""}],"container-title":"BioScience","id":"ITEM-3","issue":"11","issued":{"date-parts":[["2009","12","1"]]},"page":"977-984","publisher":"Oxford University Press","title":"Citizen Science: A Developing Tool for Expanding Science Knowledge and Scientific Literacy","type":"article-journal","volume":"59"},"uris":["http://www.mendeley.com/documents/?uuid=b0874520-ef10-3409-8e55-fca575b40220"]}],"mendeley":{"formattedCitation":"(Silvertown 2009; Bonney et al. 2009; Dickinson et al. 2012)","plainTextFormattedCitation":"(Silvertown 2009; Bonney et al. 2009; Dickinson et al. 2012)","previouslyFormattedCitation":"(Silvertown 2009; Bonney et al. 2009; Dickinson et al. 2012)"},"properties":{"noteIndex":0},"schema":"https://github.com/citation-style-language/schema/raw/master/csl-citation.json"}</w:instrText>
      </w:r>
      <w:r w:rsidR="0066160A">
        <w:fldChar w:fldCharType="separate"/>
      </w:r>
      <w:r w:rsidR="0066160A" w:rsidRPr="0066160A">
        <w:rPr>
          <w:noProof/>
        </w:rPr>
        <w:t>(Silvertown 2009; Bonney et al. 2009; Dickinson et al. 2012)</w:t>
      </w:r>
      <w:r w:rsidR="0066160A">
        <w:fldChar w:fldCharType="end"/>
      </w:r>
      <w:r>
        <w:t>. Resulting large, multivariate datasets have the potential to increase our understanding of ecological phenomena, given that adequate statistical techniques are used to separate signal fro</w:t>
      </w:r>
      <w:r w:rsidR="0066160A">
        <w:t>m potentially increasing noise.</w:t>
      </w:r>
    </w:p>
    <w:p w14:paraId="13FC47BE" w14:textId="77777777" w:rsidR="00292305" w:rsidRDefault="00292305" w:rsidP="00292305">
      <w:pPr>
        <w:pStyle w:val="FirstParagraph"/>
        <w:spacing w:line="360" w:lineRule="auto"/>
      </w:pPr>
      <w:r>
        <w:t xml:space="preserve">Multivariate data is of course not a new phenomenon in ecological research. [something about community ecology/ species richness/ vegan package]. </w:t>
      </w:r>
    </w:p>
    <w:p w14:paraId="6F4DBA98" w14:textId="77777777" w:rsidR="00292305" w:rsidRDefault="00292305" w:rsidP="00292305">
      <w:pPr>
        <w:pStyle w:val="BodyText"/>
      </w:pPr>
    </w:p>
    <w:p w14:paraId="1FA0EF4F" w14:textId="33683AFA" w:rsidR="00292305" w:rsidRDefault="00292305" w:rsidP="00292305">
      <w:pPr>
        <w:pStyle w:val="BodyText"/>
      </w:pPr>
      <w:r>
        <w:t xml:space="preserve">[I’m wondering if we should focus on regression approaches over discriminant approaches, only mentioning PLSDA at the end.  This makes for less compelling figures, but more compelling novelty (like, we already have PERMANOVA for discriminant multivariate analysis, and in some </w:t>
      </w:r>
      <w:proofErr w:type="gramStart"/>
      <w:r>
        <w:t>ways</w:t>
      </w:r>
      <w:proofErr w:type="gramEnd"/>
      <w:r>
        <w:t xml:space="preserve"> it might be better than PLS-DA)</w:t>
      </w:r>
      <w:r w:rsidR="00604AA8">
        <w:t>.  The benefit of PLS-DA is, I guess, variable selection without post-hoc testing.</w:t>
      </w:r>
      <w:r>
        <w:t>]</w:t>
      </w:r>
    </w:p>
    <w:p w14:paraId="1178B44B" w14:textId="77777777" w:rsidR="00292305" w:rsidRPr="00292305" w:rsidRDefault="00292305" w:rsidP="00292305">
      <w:pPr>
        <w:pStyle w:val="BodyText"/>
      </w:pPr>
    </w:p>
    <w:p w14:paraId="30985E7A" w14:textId="0EFA1E64" w:rsidR="00A716B7" w:rsidRDefault="00A716B7" w:rsidP="006E33FE">
      <w:pPr>
        <w:pStyle w:val="FirstParagraph"/>
        <w:spacing w:line="360" w:lineRule="auto"/>
      </w:pPr>
      <w:r>
        <w:t xml:space="preserve">Multivariate data can be analyzed in two fundamentally different ways—unsupervised, and supervised analyses. </w:t>
      </w:r>
      <w:r w:rsidR="00FA73C9">
        <w:t xml:space="preserve"> </w:t>
      </w:r>
      <w:r w:rsidR="006E33FE">
        <w:t>Uns</w:t>
      </w:r>
      <w:r w:rsidR="00433330">
        <w:t xml:space="preserve">upervised analyses </w:t>
      </w:r>
      <w:r>
        <w:t xml:space="preserve">describe patterns in the data and are often used in more descriptive studies.  For </w:t>
      </w:r>
      <w:proofErr w:type="gramStart"/>
      <w:r>
        <w:t>example</w:t>
      </w:r>
      <w:proofErr w:type="gramEnd"/>
      <w:r>
        <w:t xml:space="preserve"> principal component analysis is a widely used unsupervised technique that describes the covariation among variables in as few axes as possible.  These axes can sometimes be thought of as latent variables. For example the leaf economics spectrum (LES) is a principal component axis that describes covariation in a set of plant traits </w:t>
      </w:r>
      <w:r w:rsidR="003A3887">
        <w:t>and ranges from a resource acquisitive</w:t>
      </w:r>
      <w:r>
        <w:t xml:space="preserve"> strategy to a </w:t>
      </w:r>
      <w:r w:rsidR="003A3887">
        <w:t>resource conservative</w:t>
      </w:r>
      <w:r>
        <w:t xml:space="preserve"> strategy</w:t>
      </w:r>
      <w:r w:rsidR="0065198D">
        <w:t xml:space="preserve"> </w:t>
      </w:r>
      <w:r w:rsidR="0065198D">
        <w:fldChar w:fldCharType="begin" w:fldLock="1"/>
      </w:r>
      <w:r w:rsidR="00462571">
        <w:instrText>ADDIN CSL_CITATION {"citationItems":[{"id":"ITEM-1","itemData":{"abstract":"Abstract Bringing together leaf trait data spanning 2,548 species and 175 sites we describe, for the first time at global scale, a universal spectrum of leaf economics consisting of key chemical, structural and physiological properties. The spectrum runs from quick to slow ... \n","author":[{"dropping-particle":"","family":"Wright","given":"Ian J","non-dropping-particle":"","parse-names":false,"suffix":""},{"dropping-particle":"","family":"Reich","given":"Peter B","non-dropping-particle":"","parse-names":false,"suffix":""},{"dropping-particle":"","family":"Westoby","given":"Mark","non-dropping-particle":"","parse-names":false,"suffix":""},{"dropping-particle":"","family":"Ackerly","given":"David D","non-dropping-particle":"","parse-names":false,"suffix":""},{"dropping-particle":"","family":"Baruch","given":"Zdravko","non-dropping-particle":"","parse-names":false,"suffix":""},{"dropping-particle":"","family":"Bongers","given":"Frans","non-dropping-particle":"","parse-names":false,"suffix":""},{"dropping-particle":"","family":"Cavender-Bares","given":"Jeannine","non-dropping-particle":"","parse-names":false,"suffix":""},{"dropping-particle":"","family":"Chapin","given":"Terry","non-dropping-particle":"","parse-names":false,"suffix":""},{"dropping-particle":"","family":"Cornelissen","given":"Johannes H C","non-dropping-particle":"","parse-names":false,"suffix":""},{"dropping-particle":"","family":"Diemer","given":"Matthias","non-dropping-particle":"","parse-names":false,"suffix":""},{"dropping-particle":"","family":"Flexas","given":"Jaume","non-dropping-particle":"","parse-names":false,"suffix":""},{"dropping-particle":"","family":"Garnier","given":"Eric","non-dropping-particle":"","parse-names":false,"suffix":""},{"dropping-particle":"","family":"Groom","given":"Philip K","non-dropping-particle":"","parse-names":false,"suffix":""},{"dropping-particle":"","family":"Gulias","given":"Javier","non-dropping-particle":"","parse-names":false,"suffix":""},{"dropping-particle":"","family":"Hikosaka","given":"Kouki","non-dropping-particle":"","parse-names":false,"suffix":""},{"dropping-particle":"","family":"Lamont","given":"Byron B","non-dropping-particle":"","parse-names":false,"suffix":""},{"dropping-particle":"","family":"Lee","given":"Tali","non-dropping-particle":"","parse-names":false,"suffix":""},{"dropping-particle":"","family":"Lee","given":"William","non-dropping-particle":"","parse-names":false,"suffix":""},{"dropping-particle":"","family":"Lusk","given":"Christopher","non-dropping-particle":"","parse-names":false,"suffix":""},{"dropping-particle":"","family":"Midgley","given":"Jeremy J","non-dropping-particle":"","parse-names":false,"suffix":""},{"dropping-particle":"","family":"Navas","given":"Marie-Laure","non-dropping-particle":"","parse-names":false,"suffix":""},{"dropping-particle":"","family":"Niinemets","given":"Ülo","non-dropping-particle":"","parse-names":false,"suffix":""},{"dropping-particle":"","family":"Oleksyn","given":"Jacek","non-dropping-particle":"","parse-names":false,"suffix":""},{"dropping-particle":"","family":"Osada","given":"Noriyuki","non-dropping-particle":"","parse-names":false,"suffix":""},{"dropping-particle":"","family":"Poorter","given":"Hendrik","non-dropping-particle":"","parse-names":false,"suffix":""},{"dropping-particle":"","family":"Poot","given":"Pieter","non-dropping-particle":"","parse-names":false,"suffix":""},{"dropping-particle":"","family":"Prior","given":"Lynda","non-dropping-particle":"","parse-names":false,"suffix":""},{"dropping-particle":"","family":"Pyankov","given":"Vladimir I","non-dropping-particle":"","parse-names":false,"suffix":""},{"dropping-particle":"","family":"Roumet","given":"Catherine","non-dropping-particle":"","parse-names":false,"suffix":""},{"dropping-particle":"","family":"Thomas","given":"Sean C","non-dropping-particle":"","parse-names":false,"suffix":""},{"dropping-particle":"","family":"Tjoelker","given":"Mark G","non-dropping-particle":"","parse-names":false,"suffix":""},{"dropping-particle":"","family":"Veneklaas","given":"Erik J","non-dropping-particle":"","parse-names":false,"suffix":""},{"dropping-particle":"","family":"Villar","given":"Rafael","non-dropping-particle":"","parse-names":false,"suffix":""}],"container-title":"Nature","id":"ITEM-1","issue":"6985","issued":{"date-parts":[["2004","4","22"]]},"note":"LMA = Leaf mass per area\nAmass = photosynthetic assimilation rates\nNmass = nitrogen\nPmass = phosphorus\nRmass = respiration in dark\nLL = leaf lifespan (in months)","page":"821-827","publisher":"Nature Publishing Group","title":"The worldwide leaf economics spectrum","type":"article-journal","volume":"428"},"uris":["http://www.mendeley.com/documents/?uuid=ee2de241-f113-4544-968a-c191bd883562"]}],"mendeley":{"formattedCitation":"(Wright et al. 2004)","plainTextFormattedCitation":"(Wright et al. 2004)","previouslyFormattedCitation":"(Wright et al. 2004)"},"properties":{"noteIndex":0},"schema":"https://github.com/citation-style-language/schema/raw/master/csl-citation.json"}</w:instrText>
      </w:r>
      <w:r w:rsidR="0065198D">
        <w:fldChar w:fldCharType="separate"/>
      </w:r>
      <w:r w:rsidR="0065198D" w:rsidRPr="0065198D">
        <w:rPr>
          <w:noProof/>
        </w:rPr>
        <w:t>(Wright et al. 2004)</w:t>
      </w:r>
      <w:r w:rsidR="0065198D">
        <w:fldChar w:fldCharType="end"/>
      </w:r>
      <w:r>
        <w:t xml:space="preserve">. </w:t>
      </w:r>
    </w:p>
    <w:p w14:paraId="5C451541" w14:textId="5DA75F5A" w:rsidR="00A716B7" w:rsidRDefault="00A716B7" w:rsidP="006E33FE">
      <w:pPr>
        <w:pStyle w:val="FirstParagraph"/>
        <w:spacing w:line="360" w:lineRule="auto"/>
      </w:pPr>
      <w:r>
        <w:t xml:space="preserve">Supervised analyses, on the other hand, are appropriate if the goal is to describe a multivariate response to some predictor variable, or to describe multivariate differences </w:t>
      </w:r>
      <w:r>
        <w:lastRenderedPageBreak/>
        <w:t xml:space="preserve">between </w:t>
      </w:r>
      <w:r w:rsidR="0065198D">
        <w:rPr>
          <w:i/>
        </w:rPr>
        <w:t xml:space="preserve">a </w:t>
      </w:r>
      <w:r w:rsidR="0065198D" w:rsidRPr="0065198D">
        <w:rPr>
          <w:i/>
        </w:rPr>
        <w:t>priori</w:t>
      </w:r>
      <w:r w:rsidR="0065198D">
        <w:t xml:space="preserve"> chosen groups such as </w:t>
      </w:r>
      <w:r w:rsidRPr="0065198D">
        <w:t>treatment</w:t>
      </w:r>
      <w:r>
        <w:t xml:space="preserve"> groups</w:t>
      </w:r>
      <w:r w:rsidR="0065198D">
        <w:t xml:space="preserve"> in a manipulative experiment</w:t>
      </w:r>
      <w:r>
        <w:t xml:space="preserve"> (</w:t>
      </w:r>
      <w:r w:rsidR="0065198D">
        <w:t xml:space="preserve">i.e., </w:t>
      </w:r>
      <w:r>
        <w:t xml:space="preserve">discriminant analysis). </w:t>
      </w:r>
      <w:commentRangeStart w:id="2"/>
      <w:r>
        <w:t xml:space="preserve">These types of analyses are also not new to Ecology [something about discriminant function analysis and other </w:t>
      </w:r>
      <w:proofErr w:type="spellStart"/>
      <w:r>
        <w:t>techinques</w:t>
      </w:r>
      <w:proofErr w:type="spellEnd"/>
      <w:r>
        <w:t xml:space="preserve">/ </w:t>
      </w:r>
      <w:proofErr w:type="spellStart"/>
      <w:r>
        <w:t>analagous</w:t>
      </w:r>
      <w:proofErr w:type="spellEnd"/>
      <w:r>
        <w:t xml:space="preserve"> to bi-variate regression]. However, </w:t>
      </w:r>
      <w:r w:rsidR="0002229B">
        <w:t>traditional techniques often can’t be used when the number of variables exceeds the number of observations [</w:t>
      </w:r>
      <w:proofErr w:type="spellStart"/>
      <w:r w:rsidR="0002229B">
        <w:t>legendre</w:t>
      </w:r>
      <w:proofErr w:type="spellEnd"/>
      <w:r w:rsidR="0002229B">
        <w:t xml:space="preserve"> and </w:t>
      </w:r>
      <w:proofErr w:type="spellStart"/>
      <w:r w:rsidR="0002229B">
        <w:t>legendre</w:t>
      </w:r>
      <w:proofErr w:type="spellEnd"/>
      <w:r w:rsidR="0002229B">
        <w:t xml:space="preserve"> or some other classical ecology stats text</w:t>
      </w:r>
      <w:r>
        <w:t xml:space="preserve">]. </w:t>
      </w:r>
      <w:commentRangeEnd w:id="2"/>
      <w:r w:rsidR="0065198D">
        <w:rPr>
          <w:rStyle w:val="CommentReference"/>
        </w:rPr>
        <w:commentReference w:id="2"/>
      </w:r>
    </w:p>
    <w:p w14:paraId="4700F106" w14:textId="7E9C6385" w:rsidR="00A716B7" w:rsidRDefault="00A716B7" w:rsidP="006E33FE">
      <w:pPr>
        <w:pStyle w:val="FirstParagraph"/>
        <w:spacing w:line="360" w:lineRule="auto"/>
      </w:pPr>
      <w:r>
        <w:t xml:space="preserve">Although unsupervised analyses can’t be used to discriminate groups or find relationships in and of themselves, the latent variables they produce are often used in further analyses with the intent of discriminating groups.  For example, one might test if two plant species differ in their location along the LES axis with a t-test on principal component axis scores.  </w:t>
      </w:r>
    </w:p>
    <w:p w14:paraId="48380A3B" w14:textId="77777777" w:rsidR="006E33FE" w:rsidRDefault="006E33FE" w:rsidP="006E33FE">
      <w:pPr>
        <w:pStyle w:val="FirstParagraph"/>
        <w:spacing w:line="360" w:lineRule="auto"/>
      </w:pPr>
      <w:r>
        <w:t>For a variety of reasons</w:t>
      </w:r>
      <w:r w:rsidR="00FA73C9">
        <w:t xml:space="preserve">, </w:t>
      </w:r>
      <w:r>
        <w:t>ecology researchers often</w:t>
      </w:r>
      <w:r w:rsidR="00FA73C9">
        <w:t xml:space="preserve"> use </w:t>
      </w:r>
      <w:r>
        <w:t>an unsupervised analysis, such as PCA,</w:t>
      </w:r>
      <w:r w:rsidR="00FA73C9">
        <w:t xml:space="preserve"> to reduce dimensionality, then look for visual patterns in labeled </w:t>
      </w:r>
      <w:proofErr w:type="spellStart"/>
      <w:r w:rsidR="00FA73C9">
        <w:t>datapoints</w:t>
      </w:r>
      <w:proofErr w:type="spellEnd"/>
      <w:r w:rsidR="00FA73C9">
        <w:t xml:space="preserve"> in </w:t>
      </w:r>
      <w:r>
        <w:t xml:space="preserve">a two-dimensional plot of new, latent variable axes. </w:t>
      </w:r>
      <w:commentRangeStart w:id="3"/>
      <w:r>
        <w:t xml:space="preserve">To derive some p-value to report, researchers may perform some kind of univariate hypothesis testing on the values of the </w:t>
      </w:r>
      <w:proofErr w:type="spellStart"/>
      <w:r>
        <w:t>datapoints</w:t>
      </w:r>
      <w:proofErr w:type="spellEnd"/>
      <w:r>
        <w:t xml:space="preserve"> along these new latent variables (e.g. PC axis scores)</w:t>
      </w:r>
      <w:r w:rsidR="00FA73C9">
        <w:t>.</w:t>
      </w:r>
      <w:commentRangeEnd w:id="3"/>
      <w:r w:rsidR="0002229B">
        <w:rPr>
          <w:rStyle w:val="CommentReference"/>
        </w:rPr>
        <w:commentReference w:id="3"/>
      </w:r>
      <w:r w:rsidR="00FA73C9">
        <w:t xml:space="preserve"> This can result in complicated interpretation of ecologicaly meaningful results because a significant effect of a PC axis does not necessarily convey meaning unless the axis iteslf makes good biological sense. Not only does this obscure the interpretation of results, but it can also lead to incorrect conclusions</w:t>
      </w:r>
      <w:r w:rsidR="00441AFF">
        <w:t xml:space="preserve"> because unsupervised and supervised analyses are fundamentally different. For example, unsupervised and supervised analyses are likely to lead to different conclusions</w:t>
      </w:r>
      <w:r w:rsidR="00FA73C9">
        <w:t xml:space="preserve"> when the response variables that most stron</w:t>
      </w:r>
      <w:r>
        <w:t>g</w:t>
      </w:r>
      <w:r w:rsidR="00FA73C9">
        <w:t xml:space="preserve">ly influence the independent variable don’t contribute much to overal covariation in the dataset, as we will demonstrate below. </w:t>
      </w:r>
      <w:r>
        <w:t>Additionally, determining which</w:t>
      </w:r>
      <w:r w:rsidR="00441AFF">
        <w:t xml:space="preserve"> variables best predict the independent variable (whether it be categorical or continuous) is complicated in unsupervised analyses like PCA since the axes that best explain the independent variable are likely not the linear combination of variables that best explain the independent variable.  Therefore, researchers often use post-hoc univariate tests to determine which variables are driving the relationship after seeing separation in PCA space, unnecessarily inflating type I error.</w:t>
      </w:r>
    </w:p>
    <w:p w14:paraId="28ED427E" w14:textId="77777777" w:rsidR="00875959" w:rsidRDefault="00FA73C9" w:rsidP="006E33FE">
      <w:pPr>
        <w:pStyle w:val="FirstParagraph"/>
        <w:spacing w:line="360" w:lineRule="auto"/>
      </w:pPr>
      <w:r>
        <w:lastRenderedPageBreak/>
        <w:t xml:space="preserve">Partial least squares regression (PLS, also called “projection to latent structures”) and its discriminant analysis </w:t>
      </w:r>
      <w:r w:rsidR="006E33FE">
        <w:t xml:space="preserve">extension </w:t>
      </w:r>
      <w:r>
        <w:t>(PLS-DA), are supervised statistical techniques that work on datasets where the number of variables is greater than the number of samples. PLS was first described in [YEAR, citation] and has since gained popularity in metabolomics[citation], a field that regularly deals with datasets with many more variables (metabolites) than samples. Several s</w:t>
      </w:r>
      <w:r w:rsidR="006E33FE">
        <w:t>tatistical software packages have</w:t>
      </w:r>
      <w:r>
        <w:t xml:space="preserve"> been developed around this technique, specifically for analyzing metabolomic data [SIMCA and metaboanalyst.com]. PLS and its extentions have been adopted by many chemical ecologists[citations], but the usefulness of these techniques is not limited to metabolomic data and is an appropriate approach for answering many ecological questions.</w:t>
      </w:r>
    </w:p>
    <w:p w14:paraId="311C9312" w14:textId="77777777" w:rsidR="00875959" w:rsidRDefault="00FA73C9" w:rsidP="006E33FE">
      <w:pPr>
        <w:pStyle w:val="BodyText"/>
        <w:spacing w:line="360" w:lineRule="auto"/>
      </w:pPr>
      <w:r>
        <w:t>In this primer we intend to demonstrate advantages of PLS over dimensionality reduction followed by univariate hypothesis testing, discuss model validation and hypothesis testing with PLS including important caveats, and demonstrate the use, reporting, and interpretation of PLS results on an ecological dataset.</w:t>
      </w:r>
    </w:p>
    <w:p w14:paraId="3042F554" w14:textId="77777777" w:rsidR="00875959" w:rsidRDefault="00FA73C9">
      <w:pPr>
        <w:pStyle w:val="Heading1"/>
      </w:pPr>
      <w:bookmarkStart w:id="4" w:name="questions-i-have"/>
      <w:bookmarkStart w:id="5" w:name="methods-briefly"/>
      <w:bookmarkEnd w:id="4"/>
      <w:bookmarkEnd w:id="5"/>
      <w:r>
        <w:t>Methods (briefly)</w:t>
      </w:r>
    </w:p>
    <w:p w14:paraId="13CA5E8D" w14:textId="038CE42C" w:rsidR="00875959" w:rsidRDefault="00FA73C9">
      <w:pPr>
        <w:pStyle w:val="Heading2"/>
      </w:pPr>
      <w:bookmarkStart w:id="6" w:name="simulated-data-methods"/>
      <w:bookmarkEnd w:id="6"/>
      <w:r>
        <w:t>Simulated data methods</w:t>
      </w:r>
    </w:p>
    <w:p w14:paraId="4F1A303E" w14:textId="4E7BB709" w:rsidR="0083131C" w:rsidRPr="0083131C" w:rsidRDefault="0083131C" w:rsidP="0083131C">
      <w:pPr>
        <w:pStyle w:val="BodyText"/>
      </w:pPr>
      <w:r>
        <w:t>I generated multivariate datasets with three “pieces” to them.  One set of variables has low covariation (I’ve called it “noise”).  Another set of variables has medium to high covariation (“signal”), and another set of variables discriminates between two groups, and also has medium to high covariation (“discriminating”).  Then I analyzed these data in a discriminant analysis fashion with PCA followed by a t-test on the PC axes, PLS-DA, and PERMANOVA</w:t>
      </w:r>
    </w:p>
    <w:p w14:paraId="729E9D1F" w14:textId="75ACDC50" w:rsidR="00875959" w:rsidRDefault="00FA73C9">
      <w:pPr>
        <w:pStyle w:val="Heading2"/>
      </w:pPr>
      <w:bookmarkStart w:id="7" w:name="cupcakes-vs.muffins-methods"/>
      <w:bookmarkEnd w:id="7"/>
      <w:r>
        <w:t>Cupcakes vs. Muffins methods</w:t>
      </w:r>
    </w:p>
    <w:p w14:paraId="49FE91EB" w14:textId="77777777" w:rsidR="00875959" w:rsidRDefault="00FA73C9" w:rsidP="00632140">
      <w:pPr>
        <w:pStyle w:val="FirstParagraph"/>
        <w:spacing w:line="360" w:lineRule="auto"/>
      </w:pPr>
      <w:r>
        <w:t>I took a random subsample of 40 recipes (20 muffins and 20 cupcakes) where each variable is an ingredient (in cups per serving) and applied PCA and PLS-DA on it. I tried this with several random seeds to purposefully cherry-pick an example where PCA revealed some separation to compare the results of PCA vs PLS-DA.</w:t>
      </w:r>
    </w:p>
    <w:p w14:paraId="4630AE53" w14:textId="77777777" w:rsidR="00875959" w:rsidRDefault="00FA73C9" w:rsidP="00632140">
      <w:pPr>
        <w:pStyle w:val="BodyText"/>
        <w:spacing w:line="360" w:lineRule="auto"/>
      </w:pPr>
      <w:r>
        <w:t>I should also do PLS regression on calories per serving and include that instead or in addition to the cupcakes vs. muffins plots.</w:t>
      </w:r>
    </w:p>
    <w:p w14:paraId="549C8AB5" w14:textId="77777777" w:rsidR="00875959" w:rsidRDefault="00FA73C9">
      <w:pPr>
        <w:pStyle w:val="Heading1"/>
      </w:pPr>
      <w:bookmarkStart w:id="8" w:name="results"/>
      <w:bookmarkEnd w:id="8"/>
      <w:r>
        <w:lastRenderedPageBreak/>
        <w:t>Results</w:t>
      </w:r>
    </w:p>
    <w:p w14:paraId="14821274" w14:textId="7B29C256" w:rsidR="00875959" w:rsidRDefault="00FA73C9">
      <w:pPr>
        <w:pStyle w:val="Heading2"/>
      </w:pPr>
      <w:bookmarkStart w:id="9" w:name="simulated-data-set"/>
      <w:bookmarkEnd w:id="9"/>
      <w:r>
        <w:t>Simulated data set</w:t>
      </w:r>
    </w:p>
    <w:p w14:paraId="0C1156EE" w14:textId="5552653C" w:rsidR="0083131C" w:rsidRDefault="0083131C" w:rsidP="0083131C">
      <w:pPr>
        <w:pStyle w:val="BodyText"/>
      </w:pPr>
      <w:r>
        <w:t>What I can say for almost sure:</w:t>
      </w:r>
    </w:p>
    <w:p w14:paraId="71EBC906" w14:textId="05ACE549" w:rsidR="0083131C" w:rsidRDefault="0083131C" w:rsidP="0083131C">
      <w:pPr>
        <w:pStyle w:val="BodyText"/>
        <w:numPr>
          <w:ilvl w:val="0"/>
          <w:numId w:val="18"/>
        </w:numPr>
      </w:pPr>
      <w:r>
        <w:t xml:space="preserve">Separation in PCA space is terrible at finding a needle in a haystack.  That is, if your discriminating variables are a small proportion (or even only half) of your total variables, it does an exceptionally terrible job at detecting differences between groups.  </w:t>
      </w:r>
    </w:p>
    <w:p w14:paraId="5502A22F" w14:textId="6B265CBD" w:rsidR="0083131C" w:rsidRDefault="0083131C" w:rsidP="0083131C">
      <w:pPr>
        <w:pStyle w:val="BodyText"/>
        <w:numPr>
          <w:ilvl w:val="0"/>
          <w:numId w:val="18"/>
        </w:numPr>
      </w:pPr>
      <w:r>
        <w:t xml:space="preserve">PERMANOVA does better at discriminant analyses than PLS-DA or t-tests on PCA axes in every situation I’ve tested.  </w:t>
      </w:r>
      <w:r w:rsidR="00224800">
        <w:t xml:space="preserve">PERMANOVA detects differences even when discriminating variables are a small proportion of the data.  The performance of PERMANOVA is somewhat reduced when other covarying (but not correlated with group membership) variables are added.  In this situation, PLS-DA actually finds group separation more often, which could be interpreted as false positives. </w:t>
      </w:r>
      <w:r>
        <w:t>So, if your goal is just to say that two or more groups are different, use PERMANOVA.  It offers more flexible design (multiple factors and their interactions) and doesn’t even seem THAT sensitive to departures from homogeneity of variance</w:t>
      </w:r>
      <w:r w:rsidR="00C67D42">
        <w:t xml:space="preserve"> (I tested this)</w:t>
      </w:r>
      <w:r>
        <w:t>.  The only disadvantage is that if you want to find out which variables are responsible for separation, you need to do all the post hoc tests and then you lose power quickly.  PLS-DA on the other hand, offers VIP scores or axis loadings that can help you identify important variables.  I guess there’s no reason you couldn’t do both.</w:t>
      </w:r>
      <w:r w:rsidR="00224800">
        <w:t xml:space="preserve"> </w:t>
      </w:r>
      <w:r w:rsidR="00691785">
        <w:t xml:space="preserve"> Basically, my response to </w:t>
      </w:r>
      <w:r w:rsidR="00691785">
        <w:fldChar w:fldCharType="begin" w:fldLock="1"/>
      </w:r>
      <w:r w:rsidR="00691785">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Reliability","type":"article-journal","volume":"4"},"uris":["http://www.mendeley.com/documents/?uuid=7d82bb3d-7cc2-36c7-9e42-56e92c50eeac"]}],"mendeley":{"formattedCitation":"(Worley and Powers 2016)","plainTextFormattedCitation":"(Worley and Powers 2016)"},"properties":{"noteIndex":0},"schema":"https://github.com/citation-style-language/schema/raw/master/csl-citation.json"}</w:instrText>
      </w:r>
      <w:r w:rsidR="00691785">
        <w:fldChar w:fldCharType="separate"/>
      </w:r>
      <w:r w:rsidR="00691785" w:rsidRPr="00691785">
        <w:rPr>
          <w:noProof/>
        </w:rPr>
        <w:t>(Worley and Powers 2016)</w:t>
      </w:r>
      <w:r w:rsidR="00691785">
        <w:fldChar w:fldCharType="end"/>
      </w:r>
      <w:r w:rsidR="00691785">
        <w:t xml:space="preserve"> is “no, don’t use PCA to validate PLS-DA models.  Use PERMANOVA”.</w:t>
      </w:r>
    </w:p>
    <w:p w14:paraId="18D67F3C" w14:textId="00B8D67C" w:rsidR="00691785" w:rsidRDefault="00691785" w:rsidP="0083131C">
      <w:pPr>
        <w:pStyle w:val="BodyText"/>
        <w:numPr>
          <w:ilvl w:val="0"/>
          <w:numId w:val="18"/>
        </w:numPr>
      </w:pPr>
      <w:r>
        <w:t xml:space="preserve">The </w:t>
      </w:r>
      <w:proofErr w:type="spellStart"/>
      <w:r>
        <w:t>adonis</w:t>
      </w:r>
      <w:proofErr w:type="spellEnd"/>
      <w:r>
        <w:t>() function that runs PERMANOVA can also be used for continuous response variables (I’m not sure what this test is called, PER-multivariate-regression?).  It seems like it also does a better job than PLS, but I haven’t fully tested this yet.</w:t>
      </w:r>
    </w:p>
    <w:p w14:paraId="2CE317E5" w14:textId="56EBBC1D" w:rsidR="0083131C" w:rsidRDefault="0083131C" w:rsidP="0083131C">
      <w:pPr>
        <w:pStyle w:val="BodyText"/>
        <w:numPr>
          <w:ilvl w:val="0"/>
          <w:numId w:val="18"/>
        </w:numPr>
      </w:pPr>
      <w:r>
        <w:t xml:space="preserve">Even if a PLS-DA model is </w:t>
      </w:r>
      <w:r>
        <w:rPr>
          <w:b/>
        </w:rPr>
        <w:t>terrible</w:t>
      </w:r>
      <w:r>
        <w:t xml:space="preserve"> there </w:t>
      </w:r>
      <w:r w:rsidR="00C67D42">
        <w:t>can be</w:t>
      </w:r>
      <w:r>
        <w:t xml:space="preserve"> visible separation in a plot of the first two axes.  DO NOT publish PLS-DA plots if the model is not significant.  In fact, don’t publish these plots on their own at all.  They are useful as bi-plots or side-by-side with loading plots, but if all you’re trying to show is visual separation, </w:t>
      </w:r>
      <w:r w:rsidRPr="0083131C">
        <w:rPr>
          <w:b/>
        </w:rPr>
        <w:t>don’t do it</w:t>
      </w:r>
      <w:r>
        <w:t>.</w:t>
      </w:r>
      <w:r w:rsidR="00C67D42">
        <w:t xml:space="preserve"> It is misleading to readers.</w:t>
      </w:r>
      <w:r w:rsidR="001F37AC">
        <w:t xml:space="preserve">  </w:t>
      </w:r>
      <w:r w:rsidR="001F37AC">
        <w:rPr>
          <w:i/>
        </w:rPr>
        <w:t>Maybe</w:t>
      </w:r>
      <w:r w:rsidR="001F37AC">
        <w:t xml:space="preserve"> they’re useful if you have more than 2 groups, so you can see that some groups are more similar to each other than others.</w:t>
      </w:r>
    </w:p>
    <w:p w14:paraId="4BAA4AE4" w14:textId="6932D86D" w:rsidR="00C67D42" w:rsidRDefault="00C67D42" w:rsidP="0083131C">
      <w:pPr>
        <w:pStyle w:val="BodyText"/>
        <w:numPr>
          <w:ilvl w:val="0"/>
          <w:numId w:val="18"/>
        </w:numPr>
      </w:pPr>
      <w:r>
        <w:t xml:space="preserve">It is irresponsible to get VIP scores from a poor PLS-DA model. </w:t>
      </w:r>
      <w:r>
        <w:fldChar w:fldCharType="begin" w:fldLock="1"/>
      </w:r>
      <w:r w:rsidR="00691785">
        <w:instrText>ADDIN CSL_CITATION {"citationItems":[{"id":"ITEM-1","itemData":{"DOI":"10.1016/J.CHEMOLAB.2004.12.011","ISSN":"0169-7439","abstract":"Variable selection is one of the important practical issues for many scientific engineers. Although the PLS (partial least squares) regression combined with the VIP (variable importance in the projection) scores is often used when the multicollinearity is present among variables, there are few guidelines about its uses as well as its performance. The purpose of this paper is to explore the nature of the VIP method and to compare with other methods through computer simulation experiments. We design 108 experiments where observations are generated from true models considering four factors–the proportion of the number of relevant predictors, the magnitude of correlations between predictors, the structure of regression coefficients, and the magnitude of signal to noise. Confusion matrix is adopted to evaluate the performance of PLS, the Lasso, and stepwise method. We also discuss the proper cutoff value of the VIP method to increase its performance. Some practical hints for the use of the VIP method are given as simulation results.","author":[{"dropping-particle":"","family":"Chong","given":"Il-Gyo","non-dropping-particle":"","parse-names":false,"suffix":""},{"dropping-particle":"","family":"Jun","given":"Chi-Hyuck","non-dropping-particle":"","parse-names":false,"suffix":""}],"container-title":"Chemometrics and Intelligent Laboratory Systems","id":"ITEM-1","issue":"1-2","issued":{"date-parts":[["2005","7","28"]]},"page":"103-112","publisher":"Elsevier","title":"Performance of some variable selection methods when multicollinearity is present","type":"article-journal","volume":"78"},"uris":["http://www.mendeley.com/documents/?uuid=a1381c03-c365-3d3a-b436-a2760136a60e"]}],"mendeley":{"formattedCitation":"(Chong and Jun 2005)","plainTextFormattedCitation":"(Chong and Jun 2005)","previouslyFormattedCitation":"(Chong and Jun 2005)"},"properties":{"noteIndex":0},"schema":"https://github.com/citation-style-language/schema/raw/master/csl-citation.json"}</w:instrText>
      </w:r>
      <w:r>
        <w:fldChar w:fldCharType="separate"/>
      </w:r>
      <w:r w:rsidRPr="00C67D42">
        <w:rPr>
          <w:noProof/>
        </w:rPr>
        <w:t>(Chong and Jun 2005)</w:t>
      </w:r>
      <w:r>
        <w:fldChar w:fldCharType="end"/>
      </w:r>
      <w:r>
        <w:t xml:space="preserve"> shows that no matter what, some VIP scores will be &gt;1, because that’s how VIP works (I think the mean VIP has to be 1 or something??). Therefore, the VIP &gt; 1 cutoff is somewhat arbitrary.  If it’s a weaker model, use a higher cutoff.</w:t>
      </w:r>
    </w:p>
    <w:p w14:paraId="73C42EF0" w14:textId="063B7D86" w:rsidR="0002229B" w:rsidRDefault="0002229B" w:rsidP="0002229B">
      <w:pPr>
        <w:pStyle w:val="BodyText"/>
      </w:pPr>
      <w:r>
        <w:t xml:space="preserve">Question: Why or in what circumstances is </w:t>
      </w:r>
      <w:r>
        <w:rPr>
          <w:b/>
        </w:rPr>
        <w:t>ordination</w:t>
      </w:r>
      <w:r>
        <w:t xml:space="preserve"> preferable?</w:t>
      </w:r>
    </w:p>
    <w:p w14:paraId="334B33B4" w14:textId="4F00B08E" w:rsidR="00DB0064" w:rsidRPr="0002229B" w:rsidRDefault="00DB0064" w:rsidP="0002229B">
      <w:pPr>
        <w:pStyle w:val="BodyText"/>
      </w:pPr>
      <w:r>
        <w:lastRenderedPageBreak/>
        <w:t xml:space="preserve">PERMANOVA doesn’t take co-variation into account, I think.  </w:t>
      </w:r>
      <w:proofErr w:type="gramStart"/>
      <w:r>
        <w:t>So</w:t>
      </w:r>
      <w:proofErr w:type="gramEnd"/>
      <w:r>
        <w:t xml:space="preserve"> it would overinflate p-values if really only 1 variable is related to response variables, and other variables just co-vary with it.  PLS-DA also allows prediction.  Does PERMANOVA have a predict() method?</w:t>
      </w:r>
    </w:p>
    <w:p w14:paraId="5D0AB7AB" w14:textId="77777777" w:rsidR="00875959" w:rsidRDefault="00FA73C9" w:rsidP="006E33FE">
      <w:pPr>
        <w:pStyle w:val="FirstParagraph"/>
        <w:ind w:left="720"/>
      </w:pPr>
      <w:r>
        <w:rPr>
          <w:noProof/>
        </w:rPr>
        <w:drawing>
          <wp:inline distT="0" distB="0" distL="0" distR="0" wp14:anchorId="350052B3" wp14:editId="68716568">
            <wp:extent cx="5334000" cy="484909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PCA%20and%20PLS.png"/>
                    <pic:cNvPicPr>
                      <a:picLocks noChangeAspect="1" noChangeArrowheads="1"/>
                    </pic:cNvPicPr>
                  </pic:nvPicPr>
                  <pic:blipFill>
                    <a:blip r:embed="rId11"/>
                    <a:stretch>
                      <a:fillRect/>
                    </a:stretch>
                  </pic:blipFill>
                  <pic:spPr bwMode="auto">
                    <a:xfrm>
                      <a:off x="0" y="0"/>
                      <a:ext cx="5334000" cy="4849090"/>
                    </a:xfrm>
                    <a:prstGeom prst="rect">
                      <a:avLst/>
                    </a:prstGeom>
                    <a:noFill/>
                    <a:ln w="9525">
                      <a:noFill/>
                      <a:headEnd/>
                      <a:tailEnd/>
                    </a:ln>
                  </pic:spPr>
                </pic:pic>
              </a:graphicData>
            </a:graphic>
          </wp:inline>
        </w:drawing>
      </w:r>
    </w:p>
    <w:p w14:paraId="7F34F88E" w14:textId="77777777" w:rsidR="00875959" w:rsidRPr="006E33FE" w:rsidRDefault="00FA73C9" w:rsidP="006E33FE">
      <w:pPr>
        <w:pStyle w:val="Caption"/>
      </w:pPr>
      <w:r w:rsidRPr="006E33FE">
        <w:t xml:space="preserve">Figure 1: Multivariate analysis of simulated data with random group assignment (A, B) and with 5 </w:t>
      </w:r>
      <w:proofErr w:type="spellStart"/>
      <w:r w:rsidRPr="006E33FE">
        <w:t>aditional</w:t>
      </w:r>
      <w:proofErr w:type="spellEnd"/>
      <w:r w:rsidRPr="006E33FE">
        <w:t xml:space="preserve"> variables generated to discriminate between groups (C, D). For PCA plots (A, C), 5 </w:t>
      </w:r>
      <w:proofErr w:type="spellStart"/>
      <w:r w:rsidRPr="006E33FE">
        <w:t>prinicpal</w:t>
      </w:r>
      <w:proofErr w:type="spellEnd"/>
      <w:r w:rsidRPr="006E33FE">
        <w:t xml:space="preserve"> components were retained, and the first two principal components are plotted. For PLS-DA plots, the </w:t>
      </w:r>
      <w:bookmarkStart w:id="10" w:name="_GoBack"/>
      <w:r w:rsidRPr="006E33FE">
        <w:t xml:space="preserve">first two predictive axes are plotted, Q2 values are calculated using 7-fold cross validation, and pQ2 is </w:t>
      </w:r>
      <w:bookmarkEnd w:id="10"/>
      <w:r w:rsidRPr="006E33FE">
        <w:t xml:space="preserve">calculated with 200 permutations. Ellipses represent 95% confidence bounds, parenthetical numbers on axis </w:t>
      </w:r>
      <w:proofErr w:type="spellStart"/>
      <w:r w:rsidRPr="006E33FE">
        <w:t>labesl</w:t>
      </w:r>
      <w:proofErr w:type="spellEnd"/>
      <w:r w:rsidRPr="006E33FE">
        <w:t xml:space="preserve"> are the percent of total variation explained by the axis. Note, in figure B, the PLS-DA is clearly not a good model due to low Q2 and a high p-value. We recommend not including a PLS-DA plot for non-significant results in a publication.</w:t>
      </w:r>
    </w:p>
    <w:p w14:paraId="2E304CD5" w14:textId="77777777" w:rsidR="00875959" w:rsidRDefault="00FA73C9" w:rsidP="00632140">
      <w:pPr>
        <w:pStyle w:val="BodyText"/>
        <w:spacing w:line="360" w:lineRule="auto"/>
      </w:pPr>
      <w:r>
        <w:t xml:space="preserve">The addition of 5 discriminating variables has a negligible effect on the PCA. There is still essentially no separation between the two groups along either PC1 or PC2. However, the effect of these discriminating variables on the PLS-DA is apparent both in the visual separation between groups as well as the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w:t>
      </w:r>
      <m:oMath>
        <m:sSub>
          <m:sSubPr>
            <m:ctrlPr>
              <w:rPr>
                <w:rFonts w:ascii="Cambria Math" w:hAnsi="Cambria Math"/>
              </w:rPr>
            </m:ctrlPr>
          </m:sSubPr>
          <m:e>
            <m:r>
              <w:rPr>
                <w:rFonts w:ascii="Cambria Math" w:hAnsi="Cambria Math"/>
              </w:rPr>
              <m:t>p</m:t>
            </m:r>
          </m:e>
          <m:sub>
            <m:sSup>
              <m:sSupPr>
                <m:ctrlPr>
                  <w:rPr>
                    <w:rFonts w:ascii="Cambria Math" w:hAnsi="Cambria Math"/>
                  </w:rPr>
                </m:ctrlPr>
              </m:sSupPr>
              <m:e>
                <m:r>
                  <w:rPr>
                    <w:rFonts w:ascii="Cambria Math" w:hAnsi="Cambria Math"/>
                  </w:rPr>
                  <m:t>Q</m:t>
                </m:r>
              </m:e>
              <m:sup>
                <m:r>
                  <w:rPr>
                    <w:rFonts w:ascii="Cambria Math" w:hAnsi="Cambria Math"/>
                  </w:rPr>
                  <m:t>2</m:t>
                </m:r>
              </m:sup>
            </m:sSup>
          </m:sub>
        </m:sSub>
      </m:oMath>
      <w:r>
        <w:t xml:space="preserve"> values. The PLS-DA on completely random data also demonstrates the tendency of PLS to overfit. Without any cross-</w:t>
      </w:r>
      <w:r>
        <w:lastRenderedPageBreak/>
        <w:t xml:space="preserve">validation, one might conclude that the two groups were different, however the extremely low </w:t>
      </w:r>
      <m:oMath>
        <m:sSup>
          <m:sSupPr>
            <m:ctrlPr>
              <w:rPr>
                <w:rFonts w:ascii="Cambria Math" w:hAnsi="Cambria Math"/>
              </w:rPr>
            </m:ctrlPr>
          </m:sSupPr>
          <m:e>
            <m:r>
              <w:rPr>
                <w:rFonts w:ascii="Cambria Math" w:hAnsi="Cambria Math"/>
              </w:rPr>
              <m:t>Q</m:t>
            </m:r>
          </m:e>
          <m:sup>
            <m:r>
              <w:rPr>
                <w:rFonts w:ascii="Cambria Math" w:hAnsi="Cambria Math"/>
              </w:rPr>
              <m:t>2</m:t>
            </m:r>
          </m:sup>
        </m:sSup>
      </m:oMath>
      <w:r>
        <w:t xml:space="preserve"> and high p value from this model indicates that this separation is due to chance. Without reporting these cross-validation measures, the PLS-DA plot alone would be extremely misleading. We therefore recommend that plots of non-significant PLS models not be included in publications. It’s also worth noting that even though only 5 of 55 variables were created to distinguish the groups, the first predictive axis of the PLS-DA on the full data set describes 13.1% of the total variation in the data. In addition, the VIP scores of 5 non-discriminating varibles were over 1. Maybe VIP scores alone shouldn’t be used to determine importance of variables. False-discovery-rate adjusted t-tests more accurately identify distinguishing variables in this case.</w:t>
      </w:r>
    </w:p>
    <w:p w14:paraId="0E005AED" w14:textId="77777777" w:rsidR="006E33FE" w:rsidRDefault="00FA73C9" w:rsidP="006E33FE">
      <w:pPr>
        <w:pStyle w:val="BodyText"/>
        <w:ind w:left="720"/>
      </w:pPr>
      <w:r w:rsidRPr="006E33FE">
        <w:rPr>
          <w:rStyle w:val="CaptionChar"/>
        </w:rPr>
        <w:t>Table 1: Table of variables with variable importance in projection (VIP) scores greater than 1. Means for each group are reported for each variable, and p-values from t-tests are reported as raw (p) and false discovery rate adjusted (FDR adjusted). Variables ending in “D” were those generated to discriminate between groups.</w:t>
      </w:r>
      <w:r>
        <w:t xml:space="preserve"> </w:t>
      </w:r>
    </w:p>
    <w:p w14:paraId="3EACFDE1" w14:textId="77777777" w:rsidR="00875959" w:rsidRDefault="00FA73C9" w:rsidP="006E33FE">
      <w:pPr>
        <w:pStyle w:val="BodyText"/>
        <w:ind w:left="720"/>
      </w:pPr>
      <w:r>
        <w:rPr>
          <w:noProof/>
        </w:rPr>
        <w:drawing>
          <wp:inline distT="0" distB="0" distL="0" distR="0" wp14:anchorId="614C3274" wp14:editId="433866A7">
            <wp:extent cx="3810000" cy="2540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1.pdf"/>
                    <pic:cNvPicPr>
                      <a:picLocks noChangeAspect="1" noChangeArrowheads="1"/>
                    </pic:cNvPicPr>
                  </pic:nvPicPr>
                  <pic:blipFill>
                    <a:blip r:embed="rId12"/>
                    <a:stretch>
                      <a:fillRect/>
                    </a:stretch>
                  </pic:blipFill>
                  <pic:spPr bwMode="auto">
                    <a:xfrm>
                      <a:off x="0" y="0"/>
                      <a:ext cx="3810000" cy="2540000"/>
                    </a:xfrm>
                    <a:prstGeom prst="rect">
                      <a:avLst/>
                    </a:prstGeom>
                    <a:noFill/>
                    <a:ln w="9525">
                      <a:noFill/>
                      <a:headEnd/>
                      <a:tailEnd/>
                    </a:ln>
                  </pic:spPr>
                </pic:pic>
              </a:graphicData>
            </a:graphic>
          </wp:inline>
        </w:drawing>
      </w:r>
    </w:p>
    <w:p w14:paraId="0D947B08" w14:textId="77777777" w:rsidR="00875959" w:rsidRDefault="00FA73C9">
      <w:pPr>
        <w:pStyle w:val="Heading2"/>
      </w:pPr>
      <w:bookmarkStart w:id="11" w:name="cupcakes-vs.muffins"/>
      <w:bookmarkEnd w:id="11"/>
      <w:r>
        <w:lastRenderedPageBreak/>
        <w:t>Cupcakes vs. Muffins</w:t>
      </w:r>
    </w:p>
    <w:p w14:paraId="144090AA" w14:textId="77777777" w:rsidR="00875959" w:rsidRDefault="00FA73C9" w:rsidP="006E33FE">
      <w:pPr>
        <w:pStyle w:val="FirstParagraph"/>
        <w:ind w:left="720"/>
      </w:pPr>
      <w:r>
        <w:rPr>
          <w:noProof/>
        </w:rPr>
        <w:drawing>
          <wp:inline distT="0" distB="0" distL="0" distR="0" wp14:anchorId="65C6FEB1" wp14:editId="1E25A6F7">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cupcakeplot.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p>
    <w:p w14:paraId="0BFA8A6D" w14:textId="77777777" w:rsidR="00441AFF" w:rsidRDefault="00FA73C9" w:rsidP="006E33FE">
      <w:pPr>
        <w:pStyle w:val="Caption"/>
      </w:pPr>
      <w:r>
        <w:t xml:space="preserve">Figure 2: PCA (A) and </w:t>
      </w:r>
      <w:commentRangeStart w:id="12"/>
      <w:r w:rsidR="00441AFF">
        <w:t>O</w:t>
      </w:r>
      <w:r>
        <w:t xml:space="preserve">PLS-DA </w:t>
      </w:r>
      <w:commentRangeEnd w:id="12"/>
      <w:r w:rsidR="00441AFF">
        <w:rPr>
          <w:rStyle w:val="CommentReference"/>
        </w:rPr>
        <w:commentReference w:id="12"/>
      </w:r>
      <w:r>
        <w:t>(B) on 20 cupcake and 20 muffin recipes.</w:t>
      </w:r>
    </w:p>
    <w:p w14:paraId="259D21B6" w14:textId="77777777" w:rsidR="00632140" w:rsidRDefault="00632140" w:rsidP="006E33FE">
      <w:pPr>
        <w:pStyle w:val="Caption"/>
      </w:pPr>
    </w:p>
    <w:p w14:paraId="1822F9BE" w14:textId="77777777" w:rsidR="00632140" w:rsidRDefault="00632140" w:rsidP="006E33FE">
      <w:pPr>
        <w:pStyle w:val="Caption"/>
      </w:pPr>
    </w:p>
    <w:p w14:paraId="10D3B176" w14:textId="77777777" w:rsidR="00632140" w:rsidRDefault="00632140" w:rsidP="006E33FE">
      <w:pPr>
        <w:pStyle w:val="Caption"/>
      </w:pPr>
    </w:p>
    <w:p w14:paraId="244BC1A1" w14:textId="77777777" w:rsidR="00632140" w:rsidRDefault="00632140" w:rsidP="006E33FE">
      <w:pPr>
        <w:pStyle w:val="Caption"/>
      </w:pPr>
    </w:p>
    <w:p w14:paraId="094FF517" w14:textId="77777777" w:rsidR="00632140" w:rsidRDefault="00632140" w:rsidP="006E33FE">
      <w:pPr>
        <w:pStyle w:val="Caption"/>
      </w:pPr>
    </w:p>
    <w:p w14:paraId="5B7A1E4A" w14:textId="77777777" w:rsidR="00632140" w:rsidRDefault="00632140" w:rsidP="006E33FE">
      <w:pPr>
        <w:pStyle w:val="Caption"/>
      </w:pPr>
    </w:p>
    <w:p w14:paraId="76E8D9CA" w14:textId="77777777" w:rsidR="00632140" w:rsidRDefault="00632140" w:rsidP="006E33FE">
      <w:pPr>
        <w:pStyle w:val="Caption"/>
      </w:pPr>
    </w:p>
    <w:p w14:paraId="5DF82393" w14:textId="77777777" w:rsidR="00632140" w:rsidRDefault="00632140" w:rsidP="006E33FE">
      <w:pPr>
        <w:pStyle w:val="Caption"/>
      </w:pPr>
    </w:p>
    <w:p w14:paraId="1379AEB9" w14:textId="77777777" w:rsidR="00875959" w:rsidRDefault="00FA73C9" w:rsidP="006E33FE">
      <w:pPr>
        <w:pStyle w:val="Caption"/>
      </w:pPr>
      <w:r>
        <w:t>Table 2: Variable importance in separating muffins from cupcakes. For each variable we report a variable importance in projection (VIP) score, the loading/correlation with the OPLS-DA predictive axis, and the loadings/correlations with the first two PC axes. VIP scores &gt; 1 are generally considered important to separation among groups.</w:t>
      </w:r>
    </w:p>
    <w:p w14:paraId="3E30AD66" w14:textId="77777777" w:rsidR="00875959" w:rsidRDefault="00FA73C9" w:rsidP="006E33FE">
      <w:pPr>
        <w:pStyle w:val="BodyText"/>
        <w:ind w:left="720"/>
      </w:pPr>
      <w:r>
        <w:rPr>
          <w:noProof/>
        </w:rPr>
        <w:lastRenderedPageBreak/>
        <w:drawing>
          <wp:inline distT="0" distB="0" distL="0" distR="0" wp14:anchorId="25832354" wp14:editId="32EF1FF0">
            <wp:extent cx="3810000" cy="479850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scottericr/Documents/Tufts/PLS%20ecology/figs/Table2.pdf"/>
                    <pic:cNvPicPr>
                      <a:picLocks noChangeAspect="1" noChangeArrowheads="1"/>
                    </pic:cNvPicPr>
                  </pic:nvPicPr>
                  <pic:blipFill>
                    <a:blip r:embed="rId14"/>
                    <a:stretch>
                      <a:fillRect/>
                    </a:stretch>
                  </pic:blipFill>
                  <pic:spPr bwMode="auto">
                    <a:xfrm>
                      <a:off x="0" y="0"/>
                      <a:ext cx="3826308" cy="4819042"/>
                    </a:xfrm>
                    <a:prstGeom prst="rect">
                      <a:avLst/>
                    </a:prstGeom>
                    <a:noFill/>
                    <a:ln w="9525">
                      <a:noFill/>
                      <a:headEnd/>
                      <a:tailEnd/>
                    </a:ln>
                  </pic:spPr>
                </pic:pic>
              </a:graphicData>
            </a:graphic>
          </wp:inline>
        </w:drawing>
      </w:r>
    </w:p>
    <w:p w14:paraId="6C78F2C0" w14:textId="77777777" w:rsidR="00875959" w:rsidRDefault="00FA73C9" w:rsidP="00632140">
      <w:pPr>
        <w:pStyle w:val="BodyText"/>
        <w:spacing w:line="360" w:lineRule="auto"/>
      </w:pPr>
      <w:r>
        <w:t xml:space="preserve">PCA and OPLS-DA both show some separation between cupcakes and muffins, but there are substantial differences in the two methods. First, although PC1 explains the greatest amount of covariation in the ingredients, it does not show any separation between cupcakes and muffins. PC2 shows some weak separation between cupcakes and muffins. This indicates that the variables with the greatest (co)variation in the dataset are not good predictors of the type of baked good. Even when comparing PC2, which separates cupcakes and muffins, with the OPLS-DA predictive axis, there are substantial differences. For example, “unitless” ingredients (e.g. “one sweet potato”, “25 blueberries”) are strongly negatively correlated with PC2 (toward muffins), however, it is not a good predictor of muffins vs. cupcakes as evidenced by its low VIP score and its weak correlation with the OPLS-DA predictive axis. Conversely, “spice” is a good predictor of muffins vs. cupcakes (muffins have more spices than cupcakes) as evidenced by a VIP greater than 1 and a </w:t>
      </w:r>
      <w:r>
        <w:lastRenderedPageBreak/>
        <w:t>stronger correlation with the OPLS-DA predictive axis, but have a weak correlation with PC2.</w:t>
      </w:r>
    </w:p>
    <w:p w14:paraId="7705A1A3" w14:textId="59F60D68" w:rsidR="00875959" w:rsidRDefault="00FA73C9">
      <w:pPr>
        <w:pStyle w:val="Heading1"/>
      </w:pPr>
      <w:bookmarkStart w:id="13" w:name="discussion"/>
      <w:bookmarkEnd w:id="13"/>
      <w:r>
        <w:t>Discussion</w:t>
      </w:r>
    </w:p>
    <w:p w14:paraId="26ADFFFF" w14:textId="35D9522A" w:rsidR="00462571" w:rsidRDefault="00462571" w:rsidP="00462571">
      <w:pPr>
        <w:pStyle w:val="BodyText"/>
      </w:pPr>
      <w:r>
        <w:t>Results of simulated data.</w:t>
      </w:r>
    </w:p>
    <w:p w14:paraId="4F6D3A01" w14:textId="79BE4A2A" w:rsidR="00462571" w:rsidRPr="00462571" w:rsidRDefault="00462571" w:rsidP="00462571">
      <w:pPr>
        <w:pStyle w:val="BodyText"/>
      </w:pPr>
      <w:r>
        <w:t xml:space="preserve">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462571">
        <w:rPr>
          <w:noProof/>
        </w:rPr>
        <w:t>(2016)</w:t>
      </w:r>
      <w:r>
        <w:fldChar w:fldCharType="end"/>
      </w:r>
      <w:r>
        <w:t xml:space="preserve"> also compare separation in PCA score space with that in OPLS-DA score space. While the authors show that for OPLS-DA, as model validity decreases,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w:t>
      </w:r>
    </w:p>
    <w:p w14:paraId="2E16EE04" w14:textId="77777777" w:rsidR="00632140" w:rsidRDefault="00FA73C9" w:rsidP="00632140">
      <w:pPr>
        <w:pStyle w:val="FirstParagraph"/>
        <w:numPr>
          <w:ilvl w:val="0"/>
          <w:numId w:val="16"/>
        </w:numPr>
        <w:spacing w:line="360" w:lineRule="auto"/>
      </w:pPr>
      <w:r>
        <w:t xml:space="preserve">Discuss (mention?) variations on PLS and their advantages and disadvantages </w:t>
      </w:r>
    </w:p>
    <w:p w14:paraId="40B5D669" w14:textId="77777777" w:rsidR="00632140" w:rsidRDefault="00632140" w:rsidP="00632140">
      <w:pPr>
        <w:pStyle w:val="FirstParagraph"/>
        <w:numPr>
          <w:ilvl w:val="1"/>
          <w:numId w:val="16"/>
        </w:numPr>
        <w:spacing w:line="360" w:lineRule="auto"/>
      </w:pPr>
      <w:r>
        <w:t>Orthogonal PLS (OPLS, OPLS-DA)</w:t>
      </w:r>
    </w:p>
    <w:p w14:paraId="1AEF5483" w14:textId="77777777" w:rsidR="00632140" w:rsidRDefault="00632140" w:rsidP="00632140">
      <w:pPr>
        <w:pStyle w:val="FirstParagraph"/>
        <w:numPr>
          <w:ilvl w:val="1"/>
          <w:numId w:val="16"/>
        </w:numPr>
        <w:spacing w:line="360" w:lineRule="auto"/>
      </w:pPr>
      <w:r>
        <w:t>Sparse PLS (</w:t>
      </w:r>
      <w:proofErr w:type="spellStart"/>
      <w:r w:rsidR="00FA73C9">
        <w:t>sPLS</w:t>
      </w:r>
      <w:proofErr w:type="spellEnd"/>
      <w:r>
        <w:t xml:space="preserve">), implemented in </w:t>
      </w:r>
      <w:proofErr w:type="spellStart"/>
      <w:r>
        <w:t>mixOmics</w:t>
      </w:r>
      <w:proofErr w:type="spellEnd"/>
      <w:r w:rsidR="00FA73C9">
        <w:t>.</w:t>
      </w:r>
      <w:r>
        <w:t xml:space="preserve"> Does variable selection at the same time as PLS</w:t>
      </w:r>
    </w:p>
    <w:p w14:paraId="6A89DB50" w14:textId="77777777" w:rsidR="00632140" w:rsidRDefault="00632140" w:rsidP="00632140">
      <w:pPr>
        <w:pStyle w:val="FirstParagraph"/>
        <w:numPr>
          <w:ilvl w:val="1"/>
          <w:numId w:val="16"/>
        </w:numPr>
        <w:spacing w:line="360" w:lineRule="auto"/>
      </w:pPr>
      <w:r>
        <w:t xml:space="preserve">Multi-level PLS, implemented in </w:t>
      </w:r>
      <w:proofErr w:type="spellStart"/>
      <w:r>
        <w:t>mixOmics</w:t>
      </w:r>
      <w:proofErr w:type="spellEnd"/>
      <w:r>
        <w:t>. Allows for nested and repeated-measures designs.</w:t>
      </w:r>
    </w:p>
    <w:p w14:paraId="45AF6EF8" w14:textId="77777777" w:rsidR="00632140" w:rsidRPr="00632140" w:rsidRDefault="00632140" w:rsidP="00632140">
      <w:pPr>
        <w:pStyle w:val="FirstParagraph"/>
        <w:numPr>
          <w:ilvl w:val="0"/>
          <w:numId w:val="16"/>
        </w:numPr>
        <w:spacing w:line="360" w:lineRule="auto"/>
      </w:pPr>
      <w:r>
        <w:t>What to report/not report for PLS</w:t>
      </w:r>
    </w:p>
    <w:p w14:paraId="7640F0F0" w14:textId="77777777" w:rsidR="00632140" w:rsidRDefault="00632140" w:rsidP="00632140">
      <w:pPr>
        <w:pStyle w:val="FirstParagraph"/>
        <w:numPr>
          <w:ilvl w:val="1"/>
          <w:numId w:val="16"/>
        </w:numPr>
        <w:spacing w:line="360" w:lineRule="auto"/>
      </w:pPr>
      <w:r>
        <w:t>MUST report some measure of cross-validation, ideally multiple measures</w:t>
      </w:r>
    </w:p>
    <w:p w14:paraId="34682704" w14:textId="5FA04327" w:rsidR="00632140" w:rsidRDefault="00632140" w:rsidP="00632140">
      <w:pPr>
        <w:pStyle w:val="BodyText"/>
        <w:numPr>
          <w:ilvl w:val="1"/>
          <w:numId w:val="16"/>
        </w:numPr>
      </w:pPr>
      <w:r>
        <w:t xml:space="preserve">PCA is a good companion, but just because PCA shows no separation, doesn’t invalidate PLS-DA (contrary to recommendations of Worley and Powers </w:t>
      </w:r>
      <w:r>
        <w:fldChar w:fldCharType="begin" w:fldLock="1"/>
      </w:r>
      <w:r w:rsidR="00C67D42">
        <w:instrText>ADDIN CSL_CITATION {"citationItems":[{"id":"ITEM-1","itemData":{"DOI":"10.2174/2213235X04666160613122429","ISBN":"0000000000000","ISSN":"2213235X","PMID":"27547730","abstract":"BACKGROUND Principal Component Analysis (PCA) and Orthogonal Projections to Latent Structures Discriminant Analysis (OPLS-DA) are powerful statistical modeling tools that provide insights into separations between experimental groups based on high-dimensional spectral measurements from NMR, MS or other analytical instrumentation. However, when used without validation, these tools may lead investigators to statistically unreliable conclusions. This danger is especially real for Partial Least Squares (PLS) and OPLS, which aggressively force separations between experimental groups. As a result, OPLS-DA is often used as an alternative method when PCA fails to expose group separation, but this practice is highly dangerous. Without rigorous validation, OPLS-DA can easily yield statistically unreliable group separation. METHODS A Monte Carlo analysis of PCA group separations and OPLS-DA cross-validation metrics was performed on NMR datasets with statistically significant separations in scores-space. A linearly increasing amount of Gaussian noise was added to each data matrix followed by the construction and validation of PCA and OPLS-DA models. RESULTS With increasing added noise, the PCA scores-space distance between groups rapidly decreased and the OPLS-DA cross-validation statistics simultaneously deteriorated. A decrease in correlation between the estimated loadings (added noise) and the true (original) loadings was also observed. While the validity of the OPLS-DA model diminished with increasing added noise, the group separation in scores-space remained basically unaffected. CONCLUSION Supported by the results of Monte Carlo analyses of PCA group separations and OPLS-DA cross-validation metrics, we provide practical guidelines and cross-validatory recommendations for reliable inference from PCA and OPLS-DA models.","author":[{"dropping-particle":"","family":"Worley","given":"Bradley","non-dropping-particle":"","parse-names":false,"suffix":""},{"dropping-particle":"","family":"Powers","given":"Robert","non-dropping-particle":"","parse-names":false,"suffix":""}],"container-title":"Current Metabolomics","id":"ITEM-1","issue":"2","issued":{"date-parts":[["2016","6","30"]]},"note":"While the authors show that for OPLS-DA, as model validity decreases, visual separation of groups in score space is basically unaffected, their suggestion that PCA is a reliable indicator for OPLS-DA reliability is not necessarily true under all situations. When discriminating variables are a small portion of the total number of variables, PCA is especially unreliable at detecting separation. That is, the same variables responsible for the greatest amount of variation (explained by PC axis 1) are not necessarily the same variables that reliably distinguish groups. In this situation, poor separation in PCA space is not an indicator that real differences between samples don't exist. In this case, (O)PLS-DA may still be able to detect differences between groups and identify the distinguishing variables with high VIP scores reliably.","page":"97-103","title":"PCA as a Practical Indicator of OPLS-DA Model Reliability","type":"article-journal","volume":"4"},"suppress-author":1,"uris":["http://www.mendeley.com/documents/?uuid=7d82bb3d-7cc2-36c7-9e42-56e92c50eeac"]}],"mendeley":{"formattedCitation":"(2016)","plainTextFormattedCitation":"(2016)","previouslyFormattedCitation":"(2016)"},"properties":{"noteIndex":0},"schema":"https://github.com/citation-style-language/schema/raw/master/csl-citation.json"}</w:instrText>
      </w:r>
      <w:r>
        <w:fldChar w:fldCharType="separate"/>
      </w:r>
      <w:r w:rsidRPr="00632140">
        <w:rPr>
          <w:noProof/>
        </w:rPr>
        <w:t>(2016)</w:t>
      </w:r>
      <w:r>
        <w:fldChar w:fldCharType="end"/>
      </w:r>
      <w:r>
        <w:t>).</w:t>
      </w:r>
    </w:p>
    <w:p w14:paraId="1AAD99CD" w14:textId="77777777" w:rsidR="00632140" w:rsidRDefault="00632140" w:rsidP="00632140">
      <w:pPr>
        <w:pStyle w:val="BodyText"/>
        <w:numPr>
          <w:ilvl w:val="1"/>
          <w:numId w:val="16"/>
        </w:numPr>
      </w:pPr>
      <w:r>
        <w:t xml:space="preserve">What % total variation explained by predictive axes?  If it’s small, that’s an indicator that discriminating variables don’t </w:t>
      </w:r>
      <w:proofErr w:type="spellStart"/>
      <w:r>
        <w:t>vary</w:t>
      </w:r>
      <w:proofErr w:type="spellEnd"/>
      <w:r>
        <w:t xml:space="preserve"> much, but might still be important</w:t>
      </w:r>
    </w:p>
    <w:p w14:paraId="10F1FCAE" w14:textId="77777777" w:rsidR="00632140" w:rsidRDefault="00632140" w:rsidP="00632140">
      <w:pPr>
        <w:pStyle w:val="BodyText"/>
        <w:numPr>
          <w:ilvl w:val="1"/>
          <w:numId w:val="16"/>
        </w:numPr>
      </w:pPr>
      <w:r>
        <w:t>DON’T report plots of non-significant PLS-DA.  Visual separation in the plot is misleading!</w:t>
      </w:r>
    </w:p>
    <w:p w14:paraId="2E776352" w14:textId="77777777" w:rsidR="00632140" w:rsidRDefault="00632140" w:rsidP="00632140">
      <w:pPr>
        <w:pStyle w:val="BodyText"/>
        <w:numPr>
          <w:ilvl w:val="1"/>
          <w:numId w:val="16"/>
        </w:numPr>
      </w:pPr>
      <w:r>
        <w:lastRenderedPageBreak/>
        <w:t>NEVER do univariate tests on PLS axis loadings.  Use cross-validation to determine if model is significant and explanatory.</w:t>
      </w:r>
    </w:p>
    <w:p w14:paraId="352A1EE6" w14:textId="77777777" w:rsidR="005916EF" w:rsidRDefault="00632140" w:rsidP="005916EF">
      <w:pPr>
        <w:pStyle w:val="BodyText"/>
        <w:numPr>
          <w:ilvl w:val="0"/>
          <w:numId w:val="16"/>
        </w:numPr>
      </w:pPr>
      <w:r>
        <w:t>Who should use PLS/PLS-DA? When to use?</w:t>
      </w:r>
    </w:p>
    <w:p w14:paraId="2BF03CCA" w14:textId="77777777" w:rsidR="005916EF" w:rsidRDefault="005916EF" w:rsidP="005916EF">
      <w:pPr>
        <w:pStyle w:val="Heading1"/>
      </w:pPr>
      <w:bookmarkStart w:id="14" w:name="introduction"/>
      <w:bookmarkEnd w:id="14"/>
      <w:r>
        <w:t xml:space="preserve">Questions I have (that I should find answers for) </w:t>
      </w:r>
    </w:p>
    <w:p w14:paraId="3A58E60D" w14:textId="77777777" w:rsidR="005916EF" w:rsidRDefault="005916EF" w:rsidP="005916EF">
      <w:pPr>
        <w:pStyle w:val="Compact"/>
        <w:numPr>
          <w:ilvl w:val="0"/>
          <w:numId w:val="3"/>
        </w:numPr>
      </w:pPr>
      <w:r>
        <w:t>What, if any, are the assumptions of PLS?</w:t>
      </w:r>
    </w:p>
    <w:p w14:paraId="7F7E644C" w14:textId="77777777" w:rsidR="005916EF" w:rsidRDefault="005916EF" w:rsidP="005916EF">
      <w:pPr>
        <w:pStyle w:val="Compact"/>
        <w:numPr>
          <w:ilvl w:val="0"/>
          <w:numId w:val="3"/>
        </w:numPr>
      </w:pPr>
      <w:r>
        <w:t>How robust is it to departures from these assumptions?</w:t>
      </w:r>
    </w:p>
    <w:p w14:paraId="2EDAC72C" w14:textId="77777777" w:rsidR="005916EF" w:rsidRDefault="005916EF" w:rsidP="005916EF">
      <w:pPr>
        <w:pStyle w:val="Compact"/>
        <w:numPr>
          <w:ilvl w:val="0"/>
          <w:numId w:val="3"/>
        </w:numPr>
      </w:pPr>
      <w:r>
        <w:t>How exactly is Q</w:t>
      </w:r>
      <w:r>
        <w:rPr>
          <w:vertAlign w:val="superscript"/>
        </w:rPr>
        <w:t>2</w:t>
      </w:r>
      <w:r>
        <w:t xml:space="preserve"> calculated (from cross-validation, but what does it mean)? What is RMSE?</w:t>
      </w:r>
    </w:p>
    <w:p w14:paraId="1A17BDBA" w14:textId="77777777" w:rsidR="005916EF" w:rsidRDefault="005916EF" w:rsidP="005916EF">
      <w:pPr>
        <w:pStyle w:val="Compact"/>
        <w:numPr>
          <w:ilvl w:val="0"/>
          <w:numId w:val="3"/>
        </w:numPr>
      </w:pPr>
      <w:r>
        <w:t>What are the alternatives to permutation testing to get p-values implemented in other packages. CV-ANOVA?</w:t>
      </w:r>
    </w:p>
    <w:p w14:paraId="1BD63AC6" w14:textId="77777777" w:rsidR="005916EF" w:rsidRDefault="005916EF" w:rsidP="005916EF">
      <w:pPr>
        <w:pStyle w:val="Compact"/>
        <w:numPr>
          <w:ilvl w:val="0"/>
          <w:numId w:val="3"/>
        </w:numPr>
      </w:pPr>
      <w:r>
        <w:t>What exactly is VIP? How is it related to the s-plot in SIMCA?</w:t>
      </w:r>
    </w:p>
    <w:p w14:paraId="04998C3C" w14:textId="77777777" w:rsidR="005916EF" w:rsidRDefault="005916EF" w:rsidP="005916EF">
      <w:pPr>
        <w:pStyle w:val="Compact"/>
        <w:numPr>
          <w:ilvl w:val="0"/>
          <w:numId w:val="3"/>
        </w:numPr>
      </w:pPr>
      <w:r>
        <w:t>How do I alter the covariation of a randomly generated dataset? (what’s a covariance matrix?)</w:t>
      </w:r>
    </w:p>
    <w:p w14:paraId="11A58628" w14:textId="77777777" w:rsidR="005916EF" w:rsidRDefault="005916EF" w:rsidP="005916EF">
      <w:pPr>
        <w:pStyle w:val="BodyText"/>
      </w:pPr>
    </w:p>
    <w:p w14:paraId="16187464" w14:textId="77777777" w:rsidR="005916EF" w:rsidRDefault="005916EF" w:rsidP="005916EF">
      <w:pPr>
        <w:pStyle w:val="Heading1"/>
      </w:pPr>
      <w:r>
        <w:t>Works Cited</w:t>
      </w:r>
    </w:p>
    <w:p w14:paraId="0B7D6721" w14:textId="037BEA7A" w:rsidR="00691785" w:rsidRPr="00691785" w:rsidRDefault="005916EF" w:rsidP="00691785">
      <w:pPr>
        <w:widowControl w:val="0"/>
        <w:autoSpaceDE w:val="0"/>
        <w:autoSpaceDN w:val="0"/>
        <w:adjustRightInd w:val="0"/>
        <w:spacing w:before="180" w:after="180"/>
        <w:ind w:left="480" w:hanging="480"/>
        <w:rPr>
          <w:rFonts w:ascii="Cambria" w:hAnsi="Cambria" w:cs="Times New Roman"/>
          <w:noProof/>
        </w:rPr>
      </w:pPr>
      <w:r>
        <w:fldChar w:fldCharType="begin" w:fldLock="1"/>
      </w:r>
      <w:r>
        <w:instrText xml:space="preserve">ADDIN Mendeley Bibliography CSL_BIBLIOGRAPHY </w:instrText>
      </w:r>
      <w:r>
        <w:fldChar w:fldCharType="separate"/>
      </w:r>
      <w:r w:rsidR="00691785" w:rsidRPr="00691785">
        <w:rPr>
          <w:rFonts w:ascii="Cambria" w:hAnsi="Cambria" w:cs="Times New Roman"/>
          <w:noProof/>
        </w:rPr>
        <w:t>Aplin P (2005) Remote sensing: ecology. Prog Phys Geogr 29:104–113. doi: 10.1191/030913305pp437pr</w:t>
      </w:r>
    </w:p>
    <w:p w14:paraId="64EA1FF9"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Berger B, Parent B, Tester M (2010) High-throughput shoot imaging to study drought responses. J Exp Bot 61:3519–3528. doi: 10.1093/jxb/erq201</w:t>
      </w:r>
    </w:p>
    <w:p w14:paraId="04D97C23"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Bonney R, Cooper CB, Dickinson J, et al (2009) Citizen Science: A Developing Tool for Expanding Science Knowledge and Scientific Literacy. Bioscience 59:977–984. doi: 10.1525/bio.2009.59.11.9</w:t>
      </w:r>
    </w:p>
    <w:p w14:paraId="267BF4AD"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Chong I-G, Jun C-H (2005) Performance of some variable selection methods when multicollinearity is present. Chemom Intell Lab Syst 78:103–112. doi: 10.1016/J.CHEMOLAB.2004.12.011</w:t>
      </w:r>
    </w:p>
    <w:p w14:paraId="7C665FE5"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Cooke SJ, Hinch SG, Wikelski M, et al (2004) Biotelemetry: a mechanistic approach to ecology. Trends Ecol Evol 19:334–343. doi: 10.1016/J.TREE.2004.04.003</w:t>
      </w:r>
    </w:p>
    <w:p w14:paraId="7E79C63B"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Dickinson JL, Shirk J, Bonter D, et al (2012) The current state of citizen science as a tool for ecological research and public engagement. Front Ecol Environ 10:291–297. doi: 10.1890/110236</w:t>
      </w:r>
    </w:p>
    <w:p w14:paraId="20B6B0F5"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Fahlgren N, Gehan MA, Baxter I (2015) Lights, camera, action: high-throughput plant phenotyping is ready for a close-up. Curr Opin Plant Biol 24:93–99. doi: 10.1016/J.PBI.2015.02.006</w:t>
      </w:r>
    </w:p>
    <w:p w14:paraId="1BAF73A8"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 xml:space="preserve">Kallenbach M, Oh Y, Eilers EJ, et al (2014) A robust, simple, high-throughput technique for </w:t>
      </w:r>
      <w:r w:rsidRPr="00691785">
        <w:rPr>
          <w:rFonts w:ascii="Cambria" w:hAnsi="Cambria" w:cs="Times New Roman"/>
          <w:noProof/>
        </w:rPr>
        <w:lastRenderedPageBreak/>
        <w:t>time-resolved plant volatile analysis in field experiments. Plant J 78:1060–1072. doi: 10.1111/tpj.12523</w:t>
      </w:r>
    </w:p>
    <w:p w14:paraId="34F4C6E7"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Kfoury N, Scott E, Orians C, Robbat A (2017) Direct Contact Sorptive Extraction: A Robust Method for Sampling Plant Volatiles in the Field. J Agric Food Chem 65:8501–8509. doi: 10.1021/acs.jafc.7b02847</w:t>
      </w:r>
    </w:p>
    <w:p w14:paraId="2D7F61B6"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Porter J, Arzberger P, Braun H-W, et al (2005) Wireless Sensor Networks for Ecology. Bioscience 55:561–572. doi: 10.1641/0006-3568(2005)055[0561:wsnfe]2.0.co;2</w:t>
      </w:r>
    </w:p>
    <w:p w14:paraId="0AD45C23"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Roughgarden J, Running SW, Matson PA (1991) What Does Remote Sensing Do For Ecology? Ecology 72:1918–1922. doi: 10.2307/1941546</w:t>
      </w:r>
    </w:p>
    <w:p w14:paraId="0FDF561A"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Silvertown J (2009) A new dawn for citizen science. Trends Ecol Evol 24:467–471. doi: 10.1016/J.TREE.2009.03.017</w:t>
      </w:r>
    </w:p>
    <w:p w14:paraId="05F6DD72"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Soininen EM, Valentini A, Coissac E, et al (2009) Analysing diet of small herbivores: the efficiency of DNA barcoding coupled with high-throughput pyrosequencing for deciphering the composition of complex plant mixtures. Front Zool 6:16. doi: 10.1186/1742-9994-6-16</w:t>
      </w:r>
    </w:p>
    <w:p w14:paraId="6A9A0227" w14:textId="77777777" w:rsidR="00691785" w:rsidRPr="00691785" w:rsidRDefault="00691785" w:rsidP="00691785">
      <w:pPr>
        <w:widowControl w:val="0"/>
        <w:autoSpaceDE w:val="0"/>
        <w:autoSpaceDN w:val="0"/>
        <w:adjustRightInd w:val="0"/>
        <w:spacing w:before="180" w:after="180"/>
        <w:ind w:left="480" w:hanging="480"/>
        <w:rPr>
          <w:rFonts w:ascii="Cambria" w:hAnsi="Cambria" w:cs="Times New Roman"/>
          <w:noProof/>
        </w:rPr>
      </w:pPr>
      <w:r w:rsidRPr="00691785">
        <w:rPr>
          <w:rFonts w:ascii="Cambria" w:hAnsi="Cambria" w:cs="Times New Roman"/>
          <w:noProof/>
        </w:rPr>
        <w:t>Worley B, Powers R (2016) PCA as a Practical Indicator of OPLS-DA Model Reliability. Curr Metabolomics 4:97–103. doi: 10.2174/2213235X04666160613122429</w:t>
      </w:r>
    </w:p>
    <w:p w14:paraId="315184A9" w14:textId="77777777" w:rsidR="00691785" w:rsidRPr="00691785" w:rsidRDefault="00691785" w:rsidP="00691785">
      <w:pPr>
        <w:widowControl w:val="0"/>
        <w:autoSpaceDE w:val="0"/>
        <w:autoSpaceDN w:val="0"/>
        <w:adjustRightInd w:val="0"/>
        <w:spacing w:before="180" w:after="180"/>
        <w:ind w:left="480" w:hanging="480"/>
        <w:rPr>
          <w:rFonts w:ascii="Cambria" w:hAnsi="Cambria"/>
          <w:noProof/>
        </w:rPr>
      </w:pPr>
      <w:r w:rsidRPr="00691785">
        <w:rPr>
          <w:rFonts w:ascii="Cambria" w:hAnsi="Cambria" w:cs="Times New Roman"/>
          <w:noProof/>
        </w:rPr>
        <w:t>Wright IJ, Reich PB, Westoby M, et al (2004) The worldwide leaf economics spectrum. Nature 428:821–827</w:t>
      </w:r>
    </w:p>
    <w:p w14:paraId="0A63E2CC" w14:textId="5EA5B406" w:rsidR="005916EF" w:rsidRPr="00632140" w:rsidRDefault="005916EF" w:rsidP="00691785">
      <w:pPr>
        <w:widowControl w:val="0"/>
        <w:autoSpaceDE w:val="0"/>
        <w:autoSpaceDN w:val="0"/>
        <w:adjustRightInd w:val="0"/>
        <w:spacing w:before="180" w:after="180"/>
        <w:ind w:left="480" w:hanging="480"/>
      </w:pPr>
      <w:r>
        <w:fldChar w:fldCharType="end"/>
      </w:r>
    </w:p>
    <w:sectPr w:rsidR="005916EF" w:rsidRPr="006321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cott, Eric R." w:date="2018-07-02T08:11:00Z" w:initials="SER">
    <w:p w14:paraId="79B4F977" w14:textId="28570182" w:rsidR="00367C82" w:rsidRDefault="00367C82">
      <w:pPr>
        <w:pStyle w:val="CommentText"/>
      </w:pPr>
      <w:r>
        <w:rPr>
          <w:rStyle w:val="CommentReference"/>
        </w:rPr>
        <w:annotationRef/>
      </w:r>
      <w:r>
        <w:t>Could be a higher impact factor/ better citation</w:t>
      </w:r>
    </w:p>
  </w:comment>
  <w:comment w:id="2" w:author="Scott, Eric R." w:date="2018-07-03T10:46:00Z" w:initials="SER">
    <w:p w14:paraId="7C4BCC14" w14:textId="5CE9B61C" w:rsidR="0065198D" w:rsidRDefault="0065198D">
      <w:pPr>
        <w:pStyle w:val="CommentText"/>
      </w:pPr>
      <w:r>
        <w:rPr>
          <w:rStyle w:val="CommentReference"/>
        </w:rPr>
        <w:annotationRef/>
      </w:r>
      <w:r>
        <w:t>This might belong in the discussion, not introduction.</w:t>
      </w:r>
    </w:p>
  </w:comment>
  <w:comment w:id="3" w:author="Scott, Eric R." w:date="2018-07-15T11:32:00Z" w:initials="SER">
    <w:p w14:paraId="7901F4A8" w14:textId="0CC86602" w:rsidR="0002229B" w:rsidRDefault="0002229B">
      <w:pPr>
        <w:pStyle w:val="CommentText"/>
      </w:pPr>
      <w:r>
        <w:rPr>
          <w:rStyle w:val="CommentReference"/>
        </w:rPr>
        <w:annotationRef/>
      </w:r>
      <w:r>
        <w:t>How common is this really?  Need to find example papers that do this.</w:t>
      </w:r>
    </w:p>
  </w:comment>
  <w:comment w:id="12" w:author="Scott, Eric R." w:date="2018-05-29T16:27:00Z" w:initials="SER">
    <w:p w14:paraId="0C01FD1A" w14:textId="77777777" w:rsidR="00441AFF" w:rsidRDefault="00441AFF">
      <w:pPr>
        <w:pStyle w:val="CommentText"/>
      </w:pPr>
      <w:r>
        <w:rPr>
          <w:rStyle w:val="CommentReference"/>
        </w:rPr>
        <w:annotationRef/>
      </w:r>
      <w:r>
        <w:t>For these data I used OPLS-DA because only one PLS-DA axis was significant.  Because I can’t really create a compelling plot in 1 dimension</w:t>
      </w:r>
      <w:r w:rsidR="00632140">
        <w:t>, and I don’t want to force an extra predictive axis, I did OPLS-DA to put orthogonal covariation on the y-axis.  I can talk about when to do OPLS-DA over PLS-DA in the paper, if you think it’s valuable.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B4F977" w15:done="0"/>
  <w15:commentEx w15:paraId="7C4BCC14" w15:done="0"/>
  <w15:commentEx w15:paraId="7901F4A8" w15:done="0"/>
  <w15:commentEx w15:paraId="0C01FD1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B4F977" w16cid:durableId="1EE45C9F"/>
  <w16cid:commentId w16cid:paraId="7C4BCC14" w16cid:durableId="1EE5D295"/>
  <w16cid:commentId w16cid:paraId="7901F4A8" w16cid:durableId="1EF5AF5C"/>
  <w16cid:commentId w16cid:paraId="0C01FD1A" w16cid:durableId="1EB7FD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73D81" w14:textId="77777777" w:rsidR="00DE7CA4" w:rsidRDefault="00DE7CA4">
      <w:pPr>
        <w:spacing w:after="0"/>
      </w:pPr>
      <w:r>
        <w:separator/>
      </w:r>
    </w:p>
  </w:endnote>
  <w:endnote w:type="continuationSeparator" w:id="0">
    <w:p w14:paraId="65DC239F" w14:textId="77777777" w:rsidR="00DE7CA4" w:rsidRDefault="00DE7C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580C8" w14:textId="77777777" w:rsidR="00DE7CA4" w:rsidRDefault="00DE7CA4">
      <w:r>
        <w:separator/>
      </w:r>
    </w:p>
  </w:footnote>
  <w:footnote w:type="continuationSeparator" w:id="0">
    <w:p w14:paraId="641F86D6" w14:textId="77777777" w:rsidR="00DE7CA4" w:rsidRDefault="00DE7C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572E5"/>
    <w:multiLevelType w:val="multilevel"/>
    <w:tmpl w:val="F3083D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04078DA"/>
    <w:multiLevelType w:val="multilevel"/>
    <w:tmpl w:val="7BC0FD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91282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B92AA6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8AE6F948"/>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D5A82170"/>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1EECB430"/>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6A465CD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23B67E66"/>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A386D716"/>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0838B70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3E8C12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175EE3FC"/>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85C3200"/>
    <w:multiLevelType w:val="multilevel"/>
    <w:tmpl w:val="0EA04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3A163024"/>
    <w:multiLevelType w:val="hybridMultilevel"/>
    <w:tmpl w:val="10640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B50AA8"/>
    <w:multiLevelType w:val="hybridMultilevel"/>
    <w:tmpl w:val="AD5AD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B74BF9"/>
    <w:multiLevelType w:val="hybridMultilevel"/>
    <w:tmpl w:val="C7301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3"/>
  </w:num>
  <w:num w:numId="7">
    <w:abstractNumId w:val="4"/>
  </w:num>
  <w:num w:numId="8">
    <w:abstractNumId w:val="5"/>
  </w:num>
  <w:num w:numId="9">
    <w:abstractNumId w:val="6"/>
  </w:num>
  <w:num w:numId="10">
    <w:abstractNumId w:val="11"/>
  </w:num>
  <w:num w:numId="11">
    <w:abstractNumId w:val="7"/>
  </w:num>
  <w:num w:numId="12">
    <w:abstractNumId w:val="8"/>
  </w:num>
  <w:num w:numId="13">
    <w:abstractNumId w:val="9"/>
  </w:num>
  <w:num w:numId="14">
    <w:abstractNumId w:val="10"/>
  </w:num>
  <w:num w:numId="15">
    <w:abstractNumId w:val="12"/>
  </w:num>
  <w:num w:numId="16">
    <w:abstractNumId w:val="14"/>
  </w:num>
  <w:num w:numId="17">
    <w:abstractNumId w:val="16"/>
  </w:num>
  <w:num w:numId="18">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cott, Eric R.">
    <w15:presenceInfo w15:providerId="Windows Live" w15:userId="fe4623f8-75d7-4959-8c7e-ae3f4972e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422E"/>
    <w:rsid w:val="00011C8B"/>
    <w:rsid w:val="0002229B"/>
    <w:rsid w:val="00023E52"/>
    <w:rsid w:val="0016186D"/>
    <w:rsid w:val="0018671C"/>
    <w:rsid w:val="001C2C57"/>
    <w:rsid w:val="001F37AC"/>
    <w:rsid w:val="00224800"/>
    <w:rsid w:val="00292305"/>
    <w:rsid w:val="00367C82"/>
    <w:rsid w:val="003A3887"/>
    <w:rsid w:val="00433330"/>
    <w:rsid w:val="00441AFF"/>
    <w:rsid w:val="00462571"/>
    <w:rsid w:val="004E29B3"/>
    <w:rsid w:val="00590D07"/>
    <w:rsid w:val="005916EF"/>
    <w:rsid w:val="00604AA8"/>
    <w:rsid w:val="00632140"/>
    <w:rsid w:val="0065198D"/>
    <w:rsid w:val="0066160A"/>
    <w:rsid w:val="00691785"/>
    <w:rsid w:val="006E33FE"/>
    <w:rsid w:val="00720566"/>
    <w:rsid w:val="00784D58"/>
    <w:rsid w:val="0083131C"/>
    <w:rsid w:val="00875959"/>
    <w:rsid w:val="008D6863"/>
    <w:rsid w:val="00984218"/>
    <w:rsid w:val="00A716B7"/>
    <w:rsid w:val="00B86B75"/>
    <w:rsid w:val="00BC48D5"/>
    <w:rsid w:val="00C36279"/>
    <w:rsid w:val="00C50D52"/>
    <w:rsid w:val="00C67D42"/>
    <w:rsid w:val="00CA1D78"/>
    <w:rsid w:val="00DB0064"/>
    <w:rsid w:val="00DB20B9"/>
    <w:rsid w:val="00DE7CA4"/>
    <w:rsid w:val="00E315A3"/>
    <w:rsid w:val="00FA73C9"/>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30C16"/>
  <w15:docId w15:val="{5421984A-F71A-A04B-852A-DA316E4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BodyText"/>
    <w:link w:val="CaptionChar"/>
    <w:rsid w:val="006E33FE"/>
    <w:pPr>
      <w:ind w:left="720"/>
    </w:pPr>
    <w:rPr>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6E33FE"/>
    <w:rPr>
      <w:sz w:val="20"/>
      <w:szCs w:val="20"/>
    </w:rPr>
  </w:style>
  <w:style w:type="character" w:customStyle="1" w:styleId="VerbatimChar">
    <w:name w:val="Verbatim Char"/>
    <w:basedOn w:val="CaptionChar"/>
    <w:link w:val="SourceCode"/>
    <w:rPr>
      <w:rFonts w:ascii="Consolas" w:hAnsi="Consolas"/>
      <w:sz w:val="22"/>
      <w:szCs w:val="20"/>
    </w:rPr>
  </w:style>
  <w:style w:type="character" w:styleId="FootnoteReference">
    <w:name w:val="footnote reference"/>
    <w:basedOn w:val="CaptionChar"/>
    <w:rPr>
      <w:sz w:val="20"/>
      <w:szCs w:val="20"/>
      <w:vertAlign w:val="superscript"/>
    </w:rPr>
  </w:style>
  <w:style w:type="character" w:styleId="Hyperlink">
    <w:name w:val="Hyperlink"/>
    <w:basedOn w:val="CaptionChar"/>
    <w:rPr>
      <w:color w:val="4F81BD" w:themeColor="accent1"/>
      <w:sz w:val="20"/>
      <w:szCs w:val="20"/>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zCs w:val="20"/>
      <w:shd w:val="clear" w:color="auto" w:fill="F8F8F8"/>
    </w:rPr>
  </w:style>
  <w:style w:type="character" w:customStyle="1" w:styleId="DataTypeTok">
    <w:name w:val="DataTypeTok"/>
    <w:basedOn w:val="VerbatimChar"/>
    <w:rPr>
      <w:rFonts w:ascii="Consolas" w:hAnsi="Consolas"/>
      <w:color w:val="204A87"/>
      <w:sz w:val="22"/>
      <w:szCs w:val="20"/>
      <w:shd w:val="clear" w:color="auto" w:fill="F8F8F8"/>
    </w:rPr>
  </w:style>
  <w:style w:type="character" w:customStyle="1" w:styleId="DecValTok">
    <w:name w:val="DecValTok"/>
    <w:basedOn w:val="VerbatimChar"/>
    <w:rPr>
      <w:rFonts w:ascii="Consolas" w:hAnsi="Consolas"/>
      <w:color w:val="0000CF"/>
      <w:sz w:val="22"/>
      <w:szCs w:val="20"/>
      <w:shd w:val="clear" w:color="auto" w:fill="F8F8F8"/>
    </w:rPr>
  </w:style>
  <w:style w:type="character" w:customStyle="1" w:styleId="BaseNTok">
    <w:name w:val="BaseNTok"/>
    <w:basedOn w:val="VerbatimChar"/>
    <w:rPr>
      <w:rFonts w:ascii="Consolas" w:hAnsi="Consolas"/>
      <w:color w:val="0000CF"/>
      <w:sz w:val="22"/>
      <w:szCs w:val="20"/>
      <w:shd w:val="clear" w:color="auto" w:fill="F8F8F8"/>
    </w:rPr>
  </w:style>
  <w:style w:type="character" w:customStyle="1" w:styleId="FloatTok">
    <w:name w:val="FloatTok"/>
    <w:basedOn w:val="VerbatimChar"/>
    <w:rPr>
      <w:rFonts w:ascii="Consolas" w:hAnsi="Consolas"/>
      <w:color w:val="0000CF"/>
      <w:sz w:val="22"/>
      <w:szCs w:val="20"/>
      <w:shd w:val="clear" w:color="auto" w:fill="F8F8F8"/>
    </w:rPr>
  </w:style>
  <w:style w:type="character" w:customStyle="1" w:styleId="ConstantTok">
    <w:name w:val="ConstantTok"/>
    <w:basedOn w:val="VerbatimChar"/>
    <w:rPr>
      <w:rFonts w:ascii="Consolas" w:hAnsi="Consolas"/>
      <w:color w:val="000000"/>
      <w:sz w:val="22"/>
      <w:szCs w:val="20"/>
      <w:shd w:val="clear" w:color="auto" w:fill="F8F8F8"/>
    </w:rPr>
  </w:style>
  <w:style w:type="character" w:customStyle="1" w:styleId="CharTok">
    <w:name w:val="CharTok"/>
    <w:basedOn w:val="VerbatimChar"/>
    <w:rPr>
      <w:rFonts w:ascii="Consolas" w:hAnsi="Consolas"/>
      <w:color w:val="4E9A06"/>
      <w:sz w:val="22"/>
      <w:szCs w:val="20"/>
      <w:shd w:val="clear" w:color="auto" w:fill="F8F8F8"/>
    </w:rPr>
  </w:style>
  <w:style w:type="character" w:customStyle="1" w:styleId="SpecialCharTok">
    <w:name w:val="SpecialCharTok"/>
    <w:basedOn w:val="VerbatimChar"/>
    <w:rPr>
      <w:rFonts w:ascii="Consolas" w:hAnsi="Consolas"/>
      <w:color w:val="000000"/>
      <w:sz w:val="22"/>
      <w:szCs w:val="20"/>
      <w:shd w:val="clear" w:color="auto" w:fill="F8F8F8"/>
    </w:rPr>
  </w:style>
  <w:style w:type="character" w:customStyle="1" w:styleId="StringTok">
    <w:name w:val="StringTok"/>
    <w:basedOn w:val="VerbatimChar"/>
    <w:rPr>
      <w:rFonts w:ascii="Consolas" w:hAnsi="Consolas"/>
      <w:color w:val="4E9A06"/>
      <w:sz w:val="22"/>
      <w:szCs w:val="20"/>
      <w:shd w:val="clear" w:color="auto" w:fill="F8F8F8"/>
    </w:rPr>
  </w:style>
  <w:style w:type="character" w:customStyle="1" w:styleId="VerbatimStringTok">
    <w:name w:val="VerbatimStringTok"/>
    <w:basedOn w:val="VerbatimChar"/>
    <w:rPr>
      <w:rFonts w:ascii="Consolas" w:hAnsi="Consolas"/>
      <w:color w:val="4E9A06"/>
      <w:sz w:val="22"/>
      <w:szCs w:val="20"/>
      <w:shd w:val="clear" w:color="auto" w:fill="F8F8F8"/>
    </w:rPr>
  </w:style>
  <w:style w:type="character" w:customStyle="1" w:styleId="SpecialStringTok">
    <w:name w:val="SpecialStringTok"/>
    <w:basedOn w:val="VerbatimChar"/>
    <w:rPr>
      <w:rFonts w:ascii="Consolas" w:hAnsi="Consolas"/>
      <w:color w:val="4E9A06"/>
      <w:sz w:val="22"/>
      <w:szCs w:val="20"/>
      <w:shd w:val="clear" w:color="auto" w:fill="F8F8F8"/>
    </w:rPr>
  </w:style>
  <w:style w:type="character" w:customStyle="1" w:styleId="ImportTok">
    <w:name w:val="ImportTok"/>
    <w:basedOn w:val="VerbatimChar"/>
    <w:rPr>
      <w:rFonts w:ascii="Consolas" w:hAnsi="Consolas"/>
      <w:sz w:val="22"/>
      <w:szCs w:val="20"/>
      <w:shd w:val="clear" w:color="auto" w:fill="F8F8F8"/>
    </w:rPr>
  </w:style>
  <w:style w:type="character" w:customStyle="1" w:styleId="CommentTok">
    <w:name w:val="CommentTok"/>
    <w:basedOn w:val="VerbatimChar"/>
    <w:rPr>
      <w:rFonts w:ascii="Consolas" w:hAnsi="Consolas"/>
      <w:i/>
      <w:color w:val="8F5902"/>
      <w:sz w:val="22"/>
      <w:szCs w:val="20"/>
      <w:shd w:val="clear" w:color="auto" w:fill="F8F8F8"/>
    </w:rPr>
  </w:style>
  <w:style w:type="character" w:customStyle="1" w:styleId="DocumentationTok">
    <w:name w:val="DocumentationTok"/>
    <w:basedOn w:val="VerbatimChar"/>
    <w:rPr>
      <w:rFonts w:ascii="Consolas" w:hAnsi="Consolas"/>
      <w:b/>
      <w:i/>
      <w:color w:val="8F5902"/>
      <w:sz w:val="22"/>
      <w:szCs w:val="20"/>
      <w:shd w:val="clear" w:color="auto" w:fill="F8F8F8"/>
    </w:rPr>
  </w:style>
  <w:style w:type="character" w:customStyle="1" w:styleId="AnnotationTok">
    <w:name w:val="AnnotationTok"/>
    <w:basedOn w:val="VerbatimChar"/>
    <w:rPr>
      <w:rFonts w:ascii="Consolas" w:hAnsi="Consolas"/>
      <w:b/>
      <w:i/>
      <w:color w:val="8F5902"/>
      <w:sz w:val="22"/>
      <w:szCs w:val="20"/>
      <w:shd w:val="clear" w:color="auto" w:fill="F8F8F8"/>
    </w:rPr>
  </w:style>
  <w:style w:type="character" w:customStyle="1" w:styleId="CommentVarTok">
    <w:name w:val="CommentVarTok"/>
    <w:basedOn w:val="VerbatimChar"/>
    <w:rPr>
      <w:rFonts w:ascii="Consolas" w:hAnsi="Consolas"/>
      <w:b/>
      <w:i/>
      <w:color w:val="8F5902"/>
      <w:sz w:val="22"/>
      <w:szCs w:val="20"/>
      <w:shd w:val="clear" w:color="auto" w:fill="F8F8F8"/>
    </w:rPr>
  </w:style>
  <w:style w:type="character" w:customStyle="1" w:styleId="OtherTok">
    <w:name w:val="OtherTok"/>
    <w:basedOn w:val="VerbatimChar"/>
    <w:rPr>
      <w:rFonts w:ascii="Consolas" w:hAnsi="Consolas"/>
      <w:color w:val="8F5902"/>
      <w:sz w:val="22"/>
      <w:szCs w:val="20"/>
      <w:shd w:val="clear" w:color="auto" w:fill="F8F8F8"/>
    </w:rPr>
  </w:style>
  <w:style w:type="character" w:customStyle="1" w:styleId="FunctionTok">
    <w:name w:val="FunctionTok"/>
    <w:basedOn w:val="VerbatimChar"/>
    <w:rPr>
      <w:rFonts w:ascii="Consolas" w:hAnsi="Consolas"/>
      <w:color w:val="000000"/>
      <w:sz w:val="22"/>
      <w:szCs w:val="20"/>
      <w:shd w:val="clear" w:color="auto" w:fill="F8F8F8"/>
    </w:rPr>
  </w:style>
  <w:style w:type="character" w:customStyle="1" w:styleId="VariableTok">
    <w:name w:val="VariableTok"/>
    <w:basedOn w:val="VerbatimChar"/>
    <w:rPr>
      <w:rFonts w:ascii="Consolas" w:hAnsi="Consolas"/>
      <w:color w:val="000000"/>
      <w:sz w:val="22"/>
      <w:szCs w:val="20"/>
      <w:shd w:val="clear" w:color="auto" w:fill="F8F8F8"/>
    </w:rPr>
  </w:style>
  <w:style w:type="character" w:customStyle="1" w:styleId="ControlFlowTok">
    <w:name w:val="ControlFlowTok"/>
    <w:basedOn w:val="VerbatimChar"/>
    <w:rPr>
      <w:rFonts w:ascii="Consolas" w:hAnsi="Consolas"/>
      <w:b/>
      <w:color w:val="204A87"/>
      <w:sz w:val="22"/>
      <w:szCs w:val="20"/>
      <w:shd w:val="clear" w:color="auto" w:fill="F8F8F8"/>
    </w:rPr>
  </w:style>
  <w:style w:type="character" w:customStyle="1" w:styleId="OperatorTok">
    <w:name w:val="OperatorTok"/>
    <w:basedOn w:val="VerbatimChar"/>
    <w:rPr>
      <w:rFonts w:ascii="Consolas" w:hAnsi="Consolas"/>
      <w:b/>
      <w:color w:val="CE5C00"/>
      <w:sz w:val="22"/>
      <w:szCs w:val="20"/>
      <w:shd w:val="clear" w:color="auto" w:fill="F8F8F8"/>
    </w:rPr>
  </w:style>
  <w:style w:type="character" w:customStyle="1" w:styleId="BuiltInTok">
    <w:name w:val="BuiltInTok"/>
    <w:basedOn w:val="VerbatimChar"/>
    <w:rPr>
      <w:rFonts w:ascii="Consolas" w:hAnsi="Consolas"/>
      <w:sz w:val="22"/>
      <w:szCs w:val="20"/>
      <w:shd w:val="clear" w:color="auto" w:fill="F8F8F8"/>
    </w:rPr>
  </w:style>
  <w:style w:type="character" w:customStyle="1" w:styleId="ExtensionTok">
    <w:name w:val="ExtensionTok"/>
    <w:basedOn w:val="VerbatimChar"/>
    <w:rPr>
      <w:rFonts w:ascii="Consolas" w:hAnsi="Consolas"/>
      <w:sz w:val="22"/>
      <w:szCs w:val="20"/>
      <w:shd w:val="clear" w:color="auto" w:fill="F8F8F8"/>
    </w:rPr>
  </w:style>
  <w:style w:type="character" w:customStyle="1" w:styleId="PreprocessorTok">
    <w:name w:val="PreprocessorTok"/>
    <w:basedOn w:val="VerbatimChar"/>
    <w:rPr>
      <w:rFonts w:ascii="Consolas" w:hAnsi="Consolas"/>
      <w:i/>
      <w:color w:val="8F5902"/>
      <w:sz w:val="22"/>
      <w:szCs w:val="20"/>
      <w:shd w:val="clear" w:color="auto" w:fill="F8F8F8"/>
    </w:rPr>
  </w:style>
  <w:style w:type="character" w:customStyle="1" w:styleId="AttributeTok">
    <w:name w:val="AttributeTok"/>
    <w:basedOn w:val="VerbatimChar"/>
    <w:rPr>
      <w:rFonts w:ascii="Consolas" w:hAnsi="Consolas"/>
      <w:color w:val="C4A000"/>
      <w:sz w:val="22"/>
      <w:szCs w:val="20"/>
      <w:shd w:val="clear" w:color="auto" w:fill="F8F8F8"/>
    </w:rPr>
  </w:style>
  <w:style w:type="character" w:customStyle="1" w:styleId="RegionMarkerTok">
    <w:name w:val="RegionMarkerTok"/>
    <w:basedOn w:val="VerbatimChar"/>
    <w:rPr>
      <w:rFonts w:ascii="Consolas" w:hAnsi="Consolas"/>
      <w:sz w:val="22"/>
      <w:szCs w:val="20"/>
      <w:shd w:val="clear" w:color="auto" w:fill="F8F8F8"/>
    </w:rPr>
  </w:style>
  <w:style w:type="character" w:customStyle="1" w:styleId="InformationTok">
    <w:name w:val="InformationTok"/>
    <w:basedOn w:val="VerbatimChar"/>
    <w:rPr>
      <w:rFonts w:ascii="Consolas" w:hAnsi="Consolas"/>
      <w:b/>
      <w:i/>
      <w:color w:val="8F5902"/>
      <w:sz w:val="22"/>
      <w:szCs w:val="20"/>
      <w:shd w:val="clear" w:color="auto" w:fill="F8F8F8"/>
    </w:rPr>
  </w:style>
  <w:style w:type="character" w:customStyle="1" w:styleId="WarningTok">
    <w:name w:val="WarningTok"/>
    <w:basedOn w:val="VerbatimChar"/>
    <w:rPr>
      <w:rFonts w:ascii="Consolas" w:hAnsi="Consolas"/>
      <w:b/>
      <w:i/>
      <w:color w:val="8F5902"/>
      <w:sz w:val="22"/>
      <w:szCs w:val="20"/>
      <w:shd w:val="clear" w:color="auto" w:fill="F8F8F8"/>
    </w:rPr>
  </w:style>
  <w:style w:type="character" w:customStyle="1" w:styleId="AlertTok">
    <w:name w:val="AlertTok"/>
    <w:basedOn w:val="VerbatimChar"/>
    <w:rPr>
      <w:rFonts w:ascii="Consolas" w:hAnsi="Consolas"/>
      <w:color w:val="EF2929"/>
      <w:sz w:val="22"/>
      <w:szCs w:val="20"/>
      <w:shd w:val="clear" w:color="auto" w:fill="F8F8F8"/>
    </w:rPr>
  </w:style>
  <w:style w:type="character" w:customStyle="1" w:styleId="ErrorTok">
    <w:name w:val="ErrorTok"/>
    <w:basedOn w:val="VerbatimChar"/>
    <w:rPr>
      <w:rFonts w:ascii="Consolas" w:hAnsi="Consolas"/>
      <w:b/>
      <w:color w:val="A40000"/>
      <w:sz w:val="22"/>
      <w:szCs w:val="20"/>
      <w:shd w:val="clear" w:color="auto" w:fill="F8F8F8"/>
    </w:rPr>
  </w:style>
  <w:style w:type="character" w:customStyle="1" w:styleId="NormalTok">
    <w:name w:val="NormalTok"/>
    <w:basedOn w:val="VerbatimChar"/>
    <w:rPr>
      <w:rFonts w:ascii="Consolas" w:hAnsi="Consolas"/>
      <w:sz w:val="22"/>
      <w:szCs w:val="20"/>
      <w:shd w:val="clear" w:color="auto" w:fill="F8F8F8"/>
    </w:rPr>
  </w:style>
  <w:style w:type="paragraph" w:styleId="CommentText">
    <w:name w:val="annotation text"/>
    <w:basedOn w:val="Normal"/>
    <w:link w:val="CommentTextChar"/>
    <w:unhideWhenUsed/>
    <w:rsid w:val="006E33FE"/>
    <w:rPr>
      <w:sz w:val="20"/>
      <w:szCs w:val="20"/>
    </w:rPr>
  </w:style>
  <w:style w:type="character" w:customStyle="1" w:styleId="BodyTextChar">
    <w:name w:val="Body Text Char"/>
    <w:basedOn w:val="DefaultParagraphFont"/>
    <w:link w:val="BodyText"/>
    <w:rsid w:val="006E33FE"/>
  </w:style>
  <w:style w:type="character" w:customStyle="1" w:styleId="CommentTextChar">
    <w:name w:val="Comment Text Char"/>
    <w:basedOn w:val="DefaultParagraphFont"/>
    <w:link w:val="CommentText"/>
    <w:rsid w:val="006E33FE"/>
    <w:rPr>
      <w:sz w:val="20"/>
      <w:szCs w:val="20"/>
    </w:rPr>
  </w:style>
  <w:style w:type="paragraph" w:styleId="BodyTextFirstIndent">
    <w:name w:val="Body Text First Indent"/>
    <w:basedOn w:val="BodyText"/>
    <w:link w:val="BodyTextFirstIndentChar"/>
    <w:unhideWhenUsed/>
    <w:rsid w:val="006E33FE"/>
    <w:pPr>
      <w:spacing w:before="0" w:after="200"/>
      <w:ind w:firstLine="360"/>
    </w:pPr>
  </w:style>
  <w:style w:type="character" w:customStyle="1" w:styleId="BodyTextFirstIndentChar">
    <w:name w:val="Body Text First Indent Char"/>
    <w:basedOn w:val="BodyTextChar"/>
    <w:link w:val="BodyTextFirstIndent"/>
    <w:rsid w:val="006E33FE"/>
  </w:style>
  <w:style w:type="paragraph" w:styleId="BodyTextIndent">
    <w:name w:val="Body Text Indent"/>
    <w:basedOn w:val="Normal"/>
    <w:link w:val="BodyTextIndentChar"/>
    <w:semiHidden/>
    <w:unhideWhenUsed/>
    <w:rsid w:val="006E33FE"/>
    <w:pPr>
      <w:spacing w:after="120"/>
      <w:ind w:left="360"/>
    </w:pPr>
  </w:style>
  <w:style w:type="character" w:customStyle="1" w:styleId="BodyTextIndentChar">
    <w:name w:val="Body Text Indent Char"/>
    <w:basedOn w:val="DefaultParagraphFont"/>
    <w:link w:val="BodyTextIndent"/>
    <w:semiHidden/>
    <w:rsid w:val="006E33FE"/>
  </w:style>
  <w:style w:type="paragraph" w:styleId="BodyTextFirstIndent2">
    <w:name w:val="Body Text First Indent 2"/>
    <w:basedOn w:val="BodyTextIndent"/>
    <w:link w:val="BodyTextFirstIndent2Char"/>
    <w:unhideWhenUsed/>
    <w:rsid w:val="006E33FE"/>
    <w:pPr>
      <w:spacing w:after="200"/>
      <w:ind w:firstLine="360"/>
    </w:pPr>
  </w:style>
  <w:style w:type="character" w:customStyle="1" w:styleId="BodyTextFirstIndent2Char">
    <w:name w:val="Body Text First Indent 2 Char"/>
    <w:basedOn w:val="BodyTextIndentChar"/>
    <w:link w:val="BodyTextFirstIndent2"/>
    <w:rsid w:val="006E33FE"/>
  </w:style>
  <w:style w:type="character" w:styleId="CommentReference">
    <w:name w:val="annotation reference"/>
    <w:basedOn w:val="DefaultParagraphFont"/>
    <w:semiHidden/>
    <w:unhideWhenUsed/>
    <w:rsid w:val="00441AFF"/>
    <w:rPr>
      <w:sz w:val="16"/>
      <w:szCs w:val="16"/>
    </w:rPr>
  </w:style>
  <w:style w:type="paragraph" w:styleId="CommentSubject">
    <w:name w:val="annotation subject"/>
    <w:basedOn w:val="CommentText"/>
    <w:next w:val="CommentText"/>
    <w:link w:val="CommentSubjectChar"/>
    <w:semiHidden/>
    <w:unhideWhenUsed/>
    <w:rsid w:val="00441AFF"/>
    <w:rPr>
      <w:b/>
      <w:bCs/>
    </w:rPr>
  </w:style>
  <w:style w:type="character" w:customStyle="1" w:styleId="CommentSubjectChar">
    <w:name w:val="Comment Subject Char"/>
    <w:basedOn w:val="CommentTextChar"/>
    <w:link w:val="CommentSubject"/>
    <w:semiHidden/>
    <w:rsid w:val="00441AFF"/>
    <w:rPr>
      <w:b/>
      <w:bCs/>
      <w:sz w:val="20"/>
      <w:szCs w:val="20"/>
    </w:rPr>
  </w:style>
  <w:style w:type="paragraph" w:styleId="BalloonText">
    <w:name w:val="Balloon Text"/>
    <w:basedOn w:val="Normal"/>
    <w:link w:val="BalloonTextChar"/>
    <w:semiHidden/>
    <w:unhideWhenUsed/>
    <w:rsid w:val="00441AF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41AF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6F80A-0AAE-074B-8D52-BA03D3E6B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8569</Words>
  <Characters>48846</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Outline / Brainstorm</vt:lpstr>
    </vt:vector>
  </TitlesOfParts>
  <Company/>
  <LinksUpToDate>false</LinksUpToDate>
  <CharactersWithSpaces>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 Brainstorm</dc:title>
  <dc:creator>Scott, Eric R.</dc:creator>
  <cp:lastModifiedBy>Scott, Eric R.</cp:lastModifiedBy>
  <cp:revision>9</cp:revision>
  <dcterms:created xsi:type="dcterms:W3CDTF">2018-07-02T14:57:00Z</dcterms:created>
  <dcterms:modified xsi:type="dcterms:W3CDTF">2018-07-18T05:43:00Z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http://www.zotero.org/styles/environmental-and-experimental-botany</vt:lpwstr>
  </property>
  <property fmtid="{D5CDD505-2E9C-101B-9397-08002B2CF9AE}" pid="11" name="Mendeley Recent Style Name 4_1">
    <vt:lpwstr>Environmental and Experimental Botany</vt:lpwstr>
  </property>
  <property fmtid="{D5CDD505-2E9C-101B-9397-08002B2CF9AE}" pid="12" name="Mendeley Recent Style Id 5_1">
    <vt:lpwstr>http://www.zotero.org/styles/functional-ecology</vt:lpwstr>
  </property>
  <property fmtid="{D5CDD505-2E9C-101B-9397-08002B2CF9AE}" pid="13" name="Mendeley Recent Style Name 5_1">
    <vt:lpwstr>Functional Ecology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http://www.zotero.org/styles/oecologia</vt:lpwstr>
  </property>
  <property fmtid="{D5CDD505-2E9C-101B-9397-08002B2CF9AE}" pid="21" name="Mendeley Recent Style Name 9_1">
    <vt:lpwstr>Oecologia</vt:lpwstr>
  </property>
  <property fmtid="{D5CDD505-2E9C-101B-9397-08002B2CF9AE}" pid="22" name="Mendeley Document_1">
    <vt:lpwstr>True</vt:lpwstr>
  </property>
  <property fmtid="{D5CDD505-2E9C-101B-9397-08002B2CF9AE}" pid="23" name="Mendeley Unique User Id_1">
    <vt:lpwstr>cf1d3b35-6ead-3284-84c2-706370cca2d6</vt:lpwstr>
  </property>
  <property fmtid="{D5CDD505-2E9C-101B-9397-08002B2CF9AE}" pid="24" name="Mendeley Citation Style_1">
    <vt:lpwstr>http://www.zotero.org/styles/oecologia</vt:lpwstr>
  </property>
</Properties>
</file>