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135C" w14:textId="77777777" w:rsidR="00F771C5" w:rsidRDefault="00D26668">
      <w:pPr>
        <w:rPr>
          <w:b/>
          <w:sz w:val="24"/>
        </w:rPr>
      </w:pPr>
      <w:r w:rsidRPr="00862076">
        <w:rPr>
          <w:b/>
          <w:sz w:val="24"/>
        </w:rPr>
        <w:t>Ecological Models and Data</w:t>
      </w:r>
      <w:r w:rsidR="00862076">
        <w:rPr>
          <w:b/>
          <w:sz w:val="24"/>
        </w:rPr>
        <w:tab/>
      </w:r>
      <w:r w:rsidR="00862076">
        <w:rPr>
          <w:b/>
          <w:sz w:val="24"/>
        </w:rPr>
        <w:tab/>
      </w:r>
      <w:r w:rsidR="00862076">
        <w:rPr>
          <w:b/>
          <w:sz w:val="24"/>
        </w:rPr>
        <w:tab/>
      </w:r>
      <w:r w:rsidR="00862076">
        <w:rPr>
          <w:b/>
          <w:sz w:val="24"/>
        </w:rPr>
        <w:tab/>
      </w:r>
      <w:r w:rsidR="009761AA">
        <w:rPr>
          <w:b/>
          <w:sz w:val="24"/>
        </w:rPr>
        <w:tab/>
      </w:r>
      <w:r w:rsidR="00574937">
        <w:rPr>
          <w:b/>
          <w:sz w:val="24"/>
        </w:rPr>
        <w:t>Homework</w:t>
      </w:r>
      <w:r w:rsidR="00AD4A0C">
        <w:rPr>
          <w:b/>
          <w:sz w:val="24"/>
        </w:rPr>
        <w:t xml:space="preserve"> #</w:t>
      </w:r>
      <w:r w:rsidR="00D44C8A">
        <w:rPr>
          <w:b/>
          <w:sz w:val="24"/>
        </w:rPr>
        <w:t>3</w:t>
      </w:r>
      <w:r w:rsidR="00574937">
        <w:rPr>
          <w:b/>
          <w:sz w:val="24"/>
        </w:rPr>
        <w:t xml:space="preserve"> </w:t>
      </w:r>
      <w:r w:rsidR="00F771C5">
        <w:rPr>
          <w:b/>
          <w:sz w:val="24"/>
        </w:rPr>
        <w:t>–</w:t>
      </w:r>
      <w:r w:rsidR="00574937">
        <w:rPr>
          <w:b/>
          <w:sz w:val="24"/>
        </w:rPr>
        <w:t xml:space="preserve"> </w:t>
      </w:r>
      <w:r w:rsidR="00D051EF">
        <w:rPr>
          <w:b/>
          <w:sz w:val="24"/>
        </w:rPr>
        <w:t xml:space="preserve">Maximum </w:t>
      </w:r>
      <w:r w:rsidR="001121E9">
        <w:rPr>
          <w:b/>
          <w:sz w:val="24"/>
        </w:rPr>
        <w:t>Likelihood</w:t>
      </w:r>
    </w:p>
    <w:p w14:paraId="4F4B8A56" w14:textId="03DDCF03" w:rsidR="00F771C5" w:rsidRPr="00D44C8A" w:rsidRDefault="00F771C5">
      <w:pPr>
        <w:rPr>
          <w:b/>
          <w:sz w:val="24"/>
        </w:rPr>
      </w:pPr>
      <w:r>
        <w:rPr>
          <w:b/>
          <w:sz w:val="24"/>
        </w:rPr>
        <w:t xml:space="preserve">DUE: in </w:t>
      </w:r>
      <w:r w:rsidR="001B0C7F">
        <w:rPr>
          <w:b/>
          <w:sz w:val="24"/>
        </w:rPr>
        <w:t>class</w:t>
      </w:r>
      <w:r>
        <w:rPr>
          <w:b/>
          <w:sz w:val="24"/>
        </w:rPr>
        <w:t xml:space="preserve">, </w:t>
      </w:r>
      <w:r w:rsidR="007038A0">
        <w:rPr>
          <w:b/>
          <w:sz w:val="24"/>
        </w:rPr>
        <w:t>T</w:t>
      </w:r>
      <w:r w:rsidR="001B0C7F">
        <w:rPr>
          <w:b/>
          <w:sz w:val="24"/>
        </w:rPr>
        <w:t>ue</w:t>
      </w:r>
      <w:r w:rsidR="007038A0">
        <w:rPr>
          <w:b/>
          <w:sz w:val="24"/>
        </w:rPr>
        <w:t>sday</w:t>
      </w:r>
      <w:r w:rsidR="00D26668">
        <w:rPr>
          <w:b/>
          <w:sz w:val="24"/>
        </w:rPr>
        <w:t xml:space="preserve">, </w:t>
      </w:r>
      <w:r w:rsidR="00AD4A0C">
        <w:rPr>
          <w:b/>
          <w:sz w:val="24"/>
        </w:rPr>
        <w:t>February</w:t>
      </w:r>
      <w:r w:rsidR="00D26668">
        <w:rPr>
          <w:b/>
          <w:sz w:val="24"/>
        </w:rPr>
        <w:t xml:space="preserve"> </w:t>
      </w:r>
      <w:r w:rsidR="001B0C7F">
        <w:rPr>
          <w:b/>
          <w:sz w:val="24"/>
        </w:rPr>
        <w:t>1</w:t>
      </w:r>
      <w:r w:rsidR="00023C7E">
        <w:rPr>
          <w:b/>
          <w:sz w:val="24"/>
        </w:rPr>
        <w:t>1</w:t>
      </w:r>
      <w:bookmarkStart w:id="0" w:name="_GoBack"/>
      <w:bookmarkEnd w:id="0"/>
    </w:p>
    <w:p w14:paraId="2006DDE2" w14:textId="77777777" w:rsidR="001121E9" w:rsidRDefault="004650E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6CAA" wp14:editId="13ACA807">
                <wp:simplePos x="0" y="0"/>
                <wp:positionH relativeFrom="column">
                  <wp:posOffset>4648200</wp:posOffset>
                </wp:positionH>
                <wp:positionV relativeFrom="paragraph">
                  <wp:posOffset>2926715</wp:posOffset>
                </wp:positionV>
                <wp:extent cx="2558415" cy="2628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8415" cy="262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F3210C" w14:textId="77777777" w:rsidR="00D44C8A" w:rsidRPr="00E55309" w:rsidRDefault="00D44C8A" w:rsidP="00D44C8A">
                            <w:pPr>
                              <w:pStyle w:val="Caption"/>
                              <w:spacing w:after="0"/>
                              <w:rPr>
                                <w:b w:val="0"/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</w:rPr>
                              <w:t xml:space="preserve">Fender’s blue,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color w:val="auto"/>
                              </w:rPr>
                              <w:t>Icaricia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color w:val="auto"/>
                              </w:rPr>
                              <w:t>icarioides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i/>
                                <w:color w:val="auto"/>
                              </w:rPr>
                              <w:t>fenderii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36C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6pt;margin-top:230.45pt;width:201.4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" stroked="f">
                <v:textbox style="mso-fit-shape-to-text:t" inset="0,0,0,0">
                  <w:txbxContent>
                    <w:p w14:paraId="15F3210C" w14:textId="77777777" w:rsidR="00D44C8A" w:rsidRPr="00E55309" w:rsidRDefault="00D44C8A" w:rsidP="00D44C8A">
                      <w:pPr>
                        <w:pStyle w:val="Caption"/>
                        <w:spacing w:after="0"/>
                        <w:rPr>
                          <w:b w:val="0"/>
                          <w:i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auto"/>
                        </w:rPr>
                        <w:t xml:space="preserve">Fender’s blue, </w:t>
                      </w:r>
                      <w:proofErr w:type="spellStart"/>
                      <w:r>
                        <w:rPr>
                          <w:b w:val="0"/>
                          <w:i/>
                          <w:color w:val="auto"/>
                        </w:rPr>
                        <w:t>Icaricia</w:t>
                      </w:r>
                      <w:proofErr w:type="spellEnd"/>
                      <w:r>
                        <w:rPr>
                          <w:b w:val="0"/>
                          <w:i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i/>
                          <w:color w:val="auto"/>
                        </w:rPr>
                        <w:t>icarioides</w:t>
                      </w:r>
                      <w:proofErr w:type="spellEnd"/>
                      <w:r>
                        <w:rPr>
                          <w:b w:val="0"/>
                          <w:i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i/>
                          <w:color w:val="auto"/>
                        </w:rPr>
                        <w:t>fenderii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1B6C82B" wp14:editId="3C29F93B">
            <wp:simplePos x="0" y="0"/>
            <wp:positionH relativeFrom="column">
              <wp:posOffset>4710430</wp:posOffset>
            </wp:positionH>
            <wp:positionV relativeFrom="paragraph">
              <wp:posOffset>1630680</wp:posOffset>
            </wp:positionV>
            <wp:extent cx="1838325" cy="1371600"/>
            <wp:effectExtent l="0" t="0" r="0" b="0"/>
            <wp:wrapSquare wrapText="bothSides"/>
            <wp:docPr id="4" name="Picture 7" descr="Description: FBBaboveandbelowwingresiz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FBBaboveandbelowwingresiz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66" t="26331" r="2078" b="4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14B1D95" wp14:editId="29BAAC1B">
            <wp:simplePos x="0" y="0"/>
            <wp:positionH relativeFrom="column">
              <wp:posOffset>4719955</wp:posOffset>
            </wp:positionH>
            <wp:positionV relativeFrom="paragraph">
              <wp:posOffset>150495</wp:posOffset>
            </wp:positionV>
            <wp:extent cx="1828800" cy="1371600"/>
            <wp:effectExtent l="0" t="0" r="0" b="0"/>
            <wp:wrapSquare wrapText="bothSides"/>
            <wp:docPr id="3" name="Picture 2" descr="silvery blu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lvery blue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694C84" wp14:editId="57A95372">
                <wp:simplePos x="0" y="0"/>
                <wp:positionH relativeFrom="column">
                  <wp:posOffset>4648200</wp:posOffset>
                </wp:positionH>
                <wp:positionV relativeFrom="paragraph">
                  <wp:posOffset>1519555</wp:posOffset>
                </wp:positionV>
                <wp:extent cx="2059305" cy="16891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399329" w14:textId="77777777" w:rsidR="00D44C8A" w:rsidRPr="00D44C8A" w:rsidRDefault="00D44C8A" w:rsidP="00D44C8A">
                            <w:pPr>
                              <w:pStyle w:val="Caption"/>
                              <w:rPr>
                                <w:b w:val="0"/>
                                <w:i/>
                                <w:noProof/>
                                <w:color w:val="auto"/>
                              </w:rPr>
                            </w:pPr>
                            <w:r w:rsidRPr="00D44C8A">
                              <w:rPr>
                                <w:b w:val="0"/>
                                <w:noProof/>
                                <w:color w:val="auto"/>
                              </w:rPr>
                              <w:t xml:space="preserve">Silvery blue, </w:t>
                            </w:r>
                            <w:r w:rsidRPr="00D44C8A">
                              <w:rPr>
                                <w:b w:val="0"/>
                                <w:i/>
                                <w:noProof/>
                                <w:color w:val="auto"/>
                              </w:rPr>
                              <w:t>Glaucophyche lygdamus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4C84" id="Text Box 5" o:spid="_x0000_s1027" type="#_x0000_t202" style="position:absolute;margin-left:366pt;margin-top:119.65pt;width:162.15pt;height:1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" stroked="f">
                <v:textbox inset="0,0,0,0">
                  <w:txbxContent>
                    <w:p w14:paraId="70399329" w14:textId="77777777" w:rsidR="00D44C8A" w:rsidRPr="00D44C8A" w:rsidRDefault="00D44C8A" w:rsidP="00D44C8A">
                      <w:pPr>
                        <w:pStyle w:val="Caption"/>
                        <w:rPr>
                          <w:b w:val="0"/>
                          <w:i/>
                          <w:noProof/>
                          <w:color w:val="auto"/>
                        </w:rPr>
                      </w:pPr>
                      <w:r w:rsidRPr="00D44C8A">
                        <w:rPr>
                          <w:b w:val="0"/>
                          <w:noProof/>
                          <w:color w:val="auto"/>
                        </w:rPr>
                        <w:t xml:space="preserve">Silvery blue, </w:t>
                      </w:r>
                      <w:r w:rsidRPr="00D44C8A">
                        <w:rPr>
                          <w:b w:val="0"/>
                          <w:i/>
                          <w:noProof/>
                          <w:color w:val="auto"/>
                        </w:rPr>
                        <w:t>Glaucophyche lygdamus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AFC5F" w14:textId="77777777" w:rsidR="001121E9" w:rsidRDefault="00D44C8A">
      <w:pPr>
        <w:rPr>
          <w:sz w:val="24"/>
        </w:rPr>
      </w:pPr>
      <w:r>
        <w:rPr>
          <w:sz w:val="24"/>
        </w:rPr>
        <w:t>For a recent Department of Defense-funded contract to investigate how source-sink dynamics affect population viability of butterfl</w:t>
      </w:r>
      <w:r w:rsidR="0053154D">
        <w:rPr>
          <w:sz w:val="24"/>
        </w:rPr>
        <w:t>ie</w:t>
      </w:r>
      <w:r>
        <w:rPr>
          <w:sz w:val="24"/>
        </w:rPr>
        <w:t xml:space="preserve">s, Cheryl </w:t>
      </w:r>
      <w:r w:rsidR="00B96ECE">
        <w:rPr>
          <w:sz w:val="24"/>
        </w:rPr>
        <w:t>Schultz and N</w:t>
      </w:r>
      <w:r w:rsidR="001121E9">
        <w:rPr>
          <w:sz w:val="24"/>
        </w:rPr>
        <w:t xml:space="preserve">orah </w:t>
      </w:r>
      <w:proofErr w:type="spellStart"/>
      <w:r w:rsidR="001121E9">
        <w:rPr>
          <w:sz w:val="24"/>
        </w:rPr>
        <w:t>Warchola</w:t>
      </w:r>
      <w:proofErr w:type="spellEnd"/>
      <w:r w:rsidR="00B96ECE">
        <w:rPr>
          <w:sz w:val="24"/>
        </w:rPr>
        <w:t xml:space="preserve"> spent </w:t>
      </w:r>
      <w:r>
        <w:rPr>
          <w:sz w:val="24"/>
        </w:rPr>
        <w:t xml:space="preserve">several </w:t>
      </w:r>
      <w:r w:rsidR="00B96ECE">
        <w:rPr>
          <w:sz w:val="24"/>
        </w:rPr>
        <w:t xml:space="preserve">years </w:t>
      </w:r>
      <w:r>
        <w:rPr>
          <w:sz w:val="24"/>
        </w:rPr>
        <w:t>collecting data on</w:t>
      </w:r>
      <w:r w:rsidR="001121E9">
        <w:rPr>
          <w:sz w:val="24"/>
        </w:rPr>
        <w:t xml:space="preserve"> an endangered species of butterfly, the Fender’s blue (</w:t>
      </w:r>
      <w:proofErr w:type="spellStart"/>
      <w:r w:rsidR="001121E9">
        <w:rPr>
          <w:i/>
          <w:sz w:val="24"/>
        </w:rPr>
        <w:t>Icaricia</w:t>
      </w:r>
      <w:proofErr w:type="spellEnd"/>
      <w:r w:rsidR="001121E9">
        <w:rPr>
          <w:i/>
          <w:sz w:val="24"/>
        </w:rPr>
        <w:t xml:space="preserve"> </w:t>
      </w:r>
      <w:proofErr w:type="spellStart"/>
      <w:r w:rsidR="001121E9">
        <w:rPr>
          <w:i/>
          <w:sz w:val="24"/>
        </w:rPr>
        <w:t>icarioides</w:t>
      </w:r>
      <w:proofErr w:type="spellEnd"/>
      <w:r w:rsidR="001121E9">
        <w:rPr>
          <w:i/>
          <w:sz w:val="24"/>
        </w:rPr>
        <w:t xml:space="preserve"> </w:t>
      </w:r>
      <w:proofErr w:type="spellStart"/>
      <w:r w:rsidR="001121E9">
        <w:rPr>
          <w:i/>
          <w:sz w:val="24"/>
        </w:rPr>
        <w:t>fenderii</w:t>
      </w:r>
      <w:proofErr w:type="spellEnd"/>
      <w:r w:rsidR="001121E9">
        <w:rPr>
          <w:sz w:val="24"/>
        </w:rPr>
        <w:t xml:space="preserve">). One part of </w:t>
      </w:r>
      <w:r>
        <w:rPr>
          <w:sz w:val="24"/>
        </w:rPr>
        <w:t>the</w:t>
      </w:r>
      <w:r w:rsidR="001121E9">
        <w:rPr>
          <w:sz w:val="24"/>
        </w:rPr>
        <w:t xml:space="preserve"> research </w:t>
      </w:r>
      <w:r>
        <w:rPr>
          <w:sz w:val="24"/>
        </w:rPr>
        <w:t>involved</w:t>
      </w:r>
      <w:r w:rsidR="001121E9">
        <w:rPr>
          <w:sz w:val="24"/>
        </w:rPr>
        <w:t xml:space="preserve"> monitor</w:t>
      </w:r>
      <w:r w:rsidR="00F62344">
        <w:rPr>
          <w:sz w:val="24"/>
        </w:rPr>
        <w:t>ing</w:t>
      </w:r>
      <w:r w:rsidR="001121E9">
        <w:rPr>
          <w:sz w:val="24"/>
        </w:rPr>
        <w:t xml:space="preserve"> populations by walking a fixed route every week during the flight </w:t>
      </w:r>
      <w:proofErr w:type="gramStart"/>
      <w:r w:rsidR="001121E9">
        <w:rPr>
          <w:sz w:val="24"/>
        </w:rPr>
        <w:t>season, and</w:t>
      </w:r>
      <w:proofErr w:type="gramEnd"/>
      <w:r w:rsidR="001121E9">
        <w:rPr>
          <w:sz w:val="24"/>
        </w:rPr>
        <w:t xml:space="preserve"> counting all the butterflies see</w:t>
      </w:r>
      <w:r>
        <w:rPr>
          <w:sz w:val="24"/>
        </w:rPr>
        <w:t>n</w:t>
      </w:r>
      <w:r w:rsidR="001121E9">
        <w:rPr>
          <w:sz w:val="24"/>
        </w:rPr>
        <w:t xml:space="preserve">.  </w:t>
      </w:r>
    </w:p>
    <w:p w14:paraId="0330971E" w14:textId="77777777" w:rsidR="001121E9" w:rsidRPr="00D44C8A" w:rsidRDefault="001121E9">
      <w:pPr>
        <w:rPr>
          <w:sz w:val="16"/>
          <w:szCs w:val="16"/>
        </w:rPr>
      </w:pPr>
    </w:p>
    <w:p w14:paraId="7A21FBC3" w14:textId="77777777" w:rsidR="001121E9" w:rsidRDefault="001121E9">
      <w:pPr>
        <w:rPr>
          <w:sz w:val="24"/>
        </w:rPr>
      </w:pPr>
      <w:r>
        <w:rPr>
          <w:sz w:val="24"/>
        </w:rPr>
        <w:t xml:space="preserve">Unfortunately, the Fender’s blue </w:t>
      </w:r>
      <w:r w:rsidR="00D44C8A">
        <w:rPr>
          <w:sz w:val="24"/>
        </w:rPr>
        <w:t xml:space="preserve">butterfly </w:t>
      </w:r>
      <w:r>
        <w:rPr>
          <w:sz w:val="24"/>
        </w:rPr>
        <w:t xml:space="preserve">looks a lot like a more common species, the silvery blue butterfly. To estimate the total number of each species, </w:t>
      </w:r>
      <w:r w:rsidR="00D44C8A">
        <w:rPr>
          <w:sz w:val="24"/>
        </w:rPr>
        <w:t xml:space="preserve">they </w:t>
      </w:r>
      <w:r>
        <w:rPr>
          <w:sz w:val="24"/>
        </w:rPr>
        <w:t>collect</w:t>
      </w:r>
      <w:r w:rsidR="00D44C8A">
        <w:rPr>
          <w:sz w:val="24"/>
        </w:rPr>
        <w:t>ed</w:t>
      </w:r>
      <w:r>
        <w:rPr>
          <w:sz w:val="24"/>
        </w:rPr>
        <w:t xml:space="preserve"> a few butterflies at the end of each transect walk, for careful identification. (Butterflies </w:t>
      </w:r>
      <w:r w:rsidR="00D44C8A">
        <w:rPr>
          <w:sz w:val="24"/>
        </w:rPr>
        <w:t>we</w:t>
      </w:r>
      <w:r>
        <w:rPr>
          <w:sz w:val="24"/>
        </w:rPr>
        <w:t xml:space="preserve">re released after identification.)  </w:t>
      </w:r>
    </w:p>
    <w:p w14:paraId="04C46BF2" w14:textId="77777777" w:rsidR="001121E9" w:rsidRPr="00D44C8A" w:rsidRDefault="001121E9">
      <w:pPr>
        <w:rPr>
          <w:sz w:val="16"/>
          <w:szCs w:val="16"/>
        </w:rPr>
      </w:pPr>
    </w:p>
    <w:p w14:paraId="7E6DCFF1" w14:textId="77777777" w:rsidR="001121E9" w:rsidRDefault="001121E9">
      <w:pPr>
        <w:rPr>
          <w:sz w:val="24"/>
        </w:rPr>
      </w:pPr>
      <w:r>
        <w:rPr>
          <w:sz w:val="24"/>
        </w:rPr>
        <w:t xml:space="preserve">For this homework, you will use basic principles of likelihood to estimate the probability that each butterfly Norah </w:t>
      </w:r>
      <w:r w:rsidR="00D44C8A">
        <w:rPr>
          <w:sz w:val="24"/>
        </w:rPr>
        <w:t xml:space="preserve">and Cheryl </w:t>
      </w:r>
      <w:r>
        <w:rPr>
          <w:sz w:val="24"/>
        </w:rPr>
        <w:t>saw in 2013 was a Fender’s blue. You will also explore the distribution of this probability in space</w:t>
      </w:r>
      <w:r w:rsidR="00EA335A">
        <w:rPr>
          <w:sz w:val="24"/>
        </w:rPr>
        <w:t xml:space="preserve"> </w:t>
      </w:r>
      <w:r>
        <w:rPr>
          <w:sz w:val="24"/>
        </w:rPr>
        <w:t>and time.</w:t>
      </w:r>
    </w:p>
    <w:p w14:paraId="55CF571F" w14:textId="77777777" w:rsidR="00DB48D8" w:rsidRDefault="00DB48D8">
      <w:pPr>
        <w:rPr>
          <w:sz w:val="24"/>
        </w:rPr>
      </w:pPr>
    </w:p>
    <w:p w14:paraId="0E4E22CC" w14:textId="77777777" w:rsidR="00DB48D8" w:rsidRDefault="00DB48D8">
      <w:pPr>
        <w:rPr>
          <w:sz w:val="24"/>
        </w:rPr>
      </w:pPr>
    </w:p>
    <w:p w14:paraId="66999A1D" w14:textId="77777777" w:rsidR="00DB48D8" w:rsidRDefault="00DB48D8">
      <w:pPr>
        <w:rPr>
          <w:sz w:val="24"/>
        </w:rPr>
      </w:pPr>
    </w:p>
    <w:tbl>
      <w:tblPr>
        <w:tblpPr w:leftFromText="180" w:rightFromText="180" w:vertAnchor="text" w:tblpXSpec="right" w:tblpY="1"/>
        <w:tblOverlap w:val="never"/>
        <w:tblW w:w="5955" w:type="dxa"/>
        <w:jc w:val="right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1400"/>
        <w:gridCol w:w="1355"/>
      </w:tblGrid>
      <w:tr w:rsidR="001B1288" w:rsidRPr="001B1288" w14:paraId="5A86725C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389B" w14:textId="77777777" w:rsidR="001B1288" w:rsidRPr="001B1288" w:rsidRDefault="001B1288" w:rsidP="001F42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65A1" w14:textId="77777777" w:rsidR="001B1288" w:rsidRPr="001B1288" w:rsidRDefault="001B1288" w:rsidP="001F42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AAB9" w14:textId="77777777" w:rsidR="001B1288" w:rsidRPr="001B1288" w:rsidRDefault="001B1288" w:rsidP="001F42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8839" w14:textId="77777777" w:rsidR="001B1288" w:rsidRPr="001B1288" w:rsidRDefault="001B1288" w:rsidP="001F42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# of Fender's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C6DB" w14:textId="77777777" w:rsidR="001B1288" w:rsidRPr="001B1288" w:rsidRDefault="001B1288" w:rsidP="001F42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# of Silvery</w:t>
            </w:r>
          </w:p>
        </w:tc>
      </w:tr>
      <w:tr w:rsidR="001B1288" w:rsidRPr="001B1288" w14:paraId="5C5DD2BC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131A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AEC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25-Apr-13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B0F3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45BA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B62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B1288" w:rsidRPr="001B1288" w14:paraId="69D2CDDB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4FD7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A0E8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25-Apr-13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A7CB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E378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72CB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1B1288" w:rsidRPr="001B1288" w14:paraId="6469F917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2AFD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2358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25-Apr-13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D556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38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F850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1B1288" w:rsidRPr="001B1288" w14:paraId="215021D0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400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EC60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25-Apr-13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F9B1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B479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5023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B1288" w:rsidRPr="001B1288" w14:paraId="5EA1A3FE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ECE6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0034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C421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D591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02A1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B1288" w:rsidRPr="001B1288" w14:paraId="1F6692FB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2861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FAA9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151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CCB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70E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B1288" w:rsidRPr="001B1288" w14:paraId="650DCFCA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7A6E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A03B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E236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DEE0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61F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B1288" w:rsidRPr="001B1288" w14:paraId="78A41D1C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7463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EB68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CEC5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3B2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FE7F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1B1288" w:rsidRPr="001B1288" w14:paraId="211810A2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A63E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8817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14-May-13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C5F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530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FA38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B1288" w:rsidRPr="001B1288" w14:paraId="333A4DC4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EBF9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701F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14-May-13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25BC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7A49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05F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1B1288" w:rsidRPr="001B1288" w14:paraId="6AE95385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1B43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C8FB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14-May-13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37C0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903F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B660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B1288" w:rsidRPr="001B1288" w14:paraId="6D6B07CE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FC92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C33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14-May-13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A573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0F9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9D8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B1288" w:rsidRPr="001B1288" w14:paraId="34F0F588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6505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3BF9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7A0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2035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892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1B1288" w:rsidRPr="001B1288" w14:paraId="28151C69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38E0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B461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C042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87B5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FB99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B1288" w:rsidRPr="001B1288" w14:paraId="764B6719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BD56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7A3D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4283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78F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E88E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1B1288" w:rsidRPr="001B1288" w14:paraId="3F977679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3047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9EB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9C51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9123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104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1B1288" w:rsidRPr="001B1288" w14:paraId="7ACD8D49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8A4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F665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31-May-13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7116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E26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8ABF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B1288" w:rsidRPr="001B1288" w14:paraId="2814B42F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29CC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4FBF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31-May-13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4E05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E46B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A51A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B1288" w:rsidRPr="001B1288" w14:paraId="27379768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2B78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5D81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31-May-13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FF92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87D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5BB9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1B1288" w:rsidRPr="001B1288" w14:paraId="2EA5057C" w14:textId="77777777" w:rsidTr="001F42B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4A66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E7D3" w14:textId="77777777" w:rsidR="001B1288" w:rsidRPr="001B1288" w:rsidRDefault="001B1288" w:rsidP="001F42B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31-May-13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490A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F819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AD67" w14:textId="77777777" w:rsidR="001B1288" w:rsidRPr="001B1288" w:rsidRDefault="001B1288" w:rsidP="001F42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B128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14:paraId="0BD04150" w14:textId="77777777" w:rsidR="001B1288" w:rsidRDefault="001F42B2">
      <w:pPr>
        <w:rPr>
          <w:sz w:val="24"/>
        </w:rPr>
      </w:pPr>
      <w:r>
        <w:rPr>
          <w:sz w:val="24"/>
        </w:rPr>
        <w:t>N</w:t>
      </w:r>
      <w:r w:rsidR="00D44C8A">
        <w:rPr>
          <w:sz w:val="24"/>
        </w:rPr>
        <w:t>orah and Cheryl</w:t>
      </w:r>
      <w:r>
        <w:rPr>
          <w:sz w:val="24"/>
        </w:rPr>
        <w:t>’s data are shown in the table to the right</w:t>
      </w:r>
      <w:r w:rsidR="00D44C8A">
        <w:rPr>
          <w:sz w:val="24"/>
        </w:rPr>
        <w:t>.</w:t>
      </w:r>
    </w:p>
    <w:p w14:paraId="4F6656AE" w14:textId="77777777" w:rsidR="001F42B2" w:rsidRPr="00D44C8A" w:rsidRDefault="001F42B2">
      <w:pPr>
        <w:rPr>
          <w:sz w:val="16"/>
          <w:szCs w:val="16"/>
        </w:rPr>
      </w:pPr>
    </w:p>
    <w:p w14:paraId="24182907" w14:textId="77777777" w:rsidR="001F42B2" w:rsidRDefault="001F42B2">
      <w:pPr>
        <w:rPr>
          <w:sz w:val="24"/>
        </w:rPr>
      </w:pPr>
      <w:r>
        <w:rPr>
          <w:sz w:val="24"/>
        </w:rPr>
        <w:t>For this exercise, you</w:t>
      </w:r>
      <w:r w:rsidR="00C12AE4">
        <w:rPr>
          <w:sz w:val="24"/>
        </w:rPr>
        <w:t xml:space="preserve"> should treat each row as a single binomial trial with </w:t>
      </w:r>
      <w:r w:rsidR="00C12AE4" w:rsidRPr="00E577E6">
        <w:rPr>
          <w:i/>
          <w:sz w:val="24"/>
        </w:rPr>
        <w:t>N</w:t>
      </w:r>
      <w:r w:rsidR="00C12AE4">
        <w:rPr>
          <w:sz w:val="24"/>
        </w:rPr>
        <w:t xml:space="preserve"> (the number of trials) equal to the total number of butterflies captured, and </w:t>
      </w:r>
      <w:r w:rsidR="00C12AE4" w:rsidRPr="00E577E6">
        <w:rPr>
          <w:i/>
          <w:sz w:val="24"/>
        </w:rPr>
        <w:t>k</w:t>
      </w:r>
      <w:r w:rsidR="00C12AE4">
        <w:rPr>
          <w:sz w:val="24"/>
        </w:rPr>
        <w:t xml:space="preserve"> (the number of successes) equal to the number of Fender’s blues.</w:t>
      </w:r>
    </w:p>
    <w:p w14:paraId="4DEAC6E3" w14:textId="77777777" w:rsidR="00C12AE4" w:rsidRPr="00D44C8A" w:rsidRDefault="00C12AE4">
      <w:pPr>
        <w:rPr>
          <w:sz w:val="16"/>
          <w:szCs w:val="16"/>
        </w:rPr>
      </w:pPr>
    </w:p>
    <w:p w14:paraId="42DCC808" w14:textId="77777777" w:rsidR="00C12AE4" w:rsidRDefault="00C12AE4">
      <w:pPr>
        <w:rPr>
          <w:sz w:val="24"/>
        </w:rPr>
      </w:pPr>
      <w:r>
        <w:rPr>
          <w:sz w:val="24"/>
        </w:rPr>
        <w:t>The R command for a binomial probability is</w:t>
      </w:r>
    </w:p>
    <w:p w14:paraId="2AF2C562" w14:textId="77777777" w:rsidR="00C12AE4" w:rsidRPr="003004A0" w:rsidRDefault="003004A0" w:rsidP="003004A0">
      <w:pPr>
        <w:pStyle w:val="HTMLPreformatted"/>
        <w:rPr>
          <w:rFonts w:ascii="Times New Roman" w:hAnsi="Times New Roman" w:cs="Times New Roman"/>
        </w:rPr>
      </w:pPr>
      <w:proofErr w:type="spellStart"/>
      <w:r>
        <w:t>dbinom</w:t>
      </w:r>
      <w:proofErr w:type="spellEnd"/>
      <w:r>
        <w:t xml:space="preserve">(x, size, prob, log = FALSE) </w:t>
      </w:r>
      <w:r w:rsidRPr="003004A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577E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 is the number of successes (</w:t>
      </w:r>
      <w:r w:rsidRPr="00E577E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), “size” is the number of trials (</w:t>
      </w:r>
      <w:r w:rsidRPr="00E577E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“</w:t>
      </w:r>
      <w:r w:rsidRPr="00E577E6">
        <w:rPr>
          <w:rFonts w:ascii="Times New Roman" w:hAnsi="Times New Roman" w:cs="Times New Roman"/>
          <w:i/>
          <w:sz w:val="24"/>
          <w:szCs w:val="24"/>
        </w:rPr>
        <w:t>prob</w:t>
      </w:r>
      <w:r>
        <w:rPr>
          <w:rFonts w:ascii="Times New Roman" w:hAnsi="Times New Roman" w:cs="Times New Roman"/>
          <w:sz w:val="24"/>
          <w:szCs w:val="24"/>
        </w:rPr>
        <w:t xml:space="preserve">” is the probability of success, and “log = FALSE” determines whether the command reports </w:t>
      </w:r>
      <w:r w:rsidR="00F62344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>probabilities o</w:t>
      </w:r>
      <w:r w:rsidR="00F623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ln-transformed probabilities (log = TRUE gives ln-transformed probabilities; log = FALSE gives the actual probabilities).</w:t>
      </w:r>
    </w:p>
    <w:p w14:paraId="3E8AF859" w14:textId="77777777" w:rsidR="00F62344" w:rsidRDefault="001B1288" w:rsidP="00F62344">
      <w:pPr>
        <w:ind w:left="720"/>
        <w:rPr>
          <w:sz w:val="24"/>
        </w:rPr>
      </w:pPr>
      <w:r>
        <w:rPr>
          <w:sz w:val="24"/>
        </w:rPr>
        <w:br w:type="page"/>
      </w:r>
    </w:p>
    <w:p w14:paraId="74664D90" w14:textId="77777777" w:rsidR="00F62344" w:rsidRDefault="00F62344" w:rsidP="00F62344">
      <w:pPr>
        <w:ind w:left="720"/>
        <w:rPr>
          <w:sz w:val="24"/>
        </w:rPr>
      </w:pPr>
    </w:p>
    <w:p w14:paraId="13BA8859" w14:textId="77777777" w:rsidR="001121E9" w:rsidRDefault="001B1288" w:rsidP="00B3690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all the data, </w:t>
      </w:r>
      <w:r w:rsidR="00B3690C">
        <w:rPr>
          <w:sz w:val="24"/>
        </w:rPr>
        <w:t>what is the maximum likelihood</w:t>
      </w:r>
      <w:r>
        <w:rPr>
          <w:sz w:val="24"/>
        </w:rPr>
        <w:t xml:space="preserve"> </w:t>
      </w:r>
      <w:r w:rsidR="00B3690C">
        <w:rPr>
          <w:sz w:val="24"/>
        </w:rPr>
        <w:t xml:space="preserve">proportion of </w:t>
      </w:r>
      <w:r>
        <w:rPr>
          <w:sz w:val="24"/>
        </w:rPr>
        <w:t>Fender’</w:t>
      </w:r>
      <w:r w:rsidR="00B3690C">
        <w:rPr>
          <w:sz w:val="24"/>
        </w:rPr>
        <w:t>s blues</w:t>
      </w:r>
      <w:r w:rsidR="00F62344">
        <w:rPr>
          <w:sz w:val="24"/>
        </w:rPr>
        <w:t xml:space="preserve"> butterflies</w:t>
      </w:r>
      <w:r w:rsidR="00B3690C">
        <w:rPr>
          <w:sz w:val="24"/>
        </w:rPr>
        <w:t xml:space="preserve">?  [Show enough of your work to let </w:t>
      </w:r>
      <w:r w:rsidR="00A66F35">
        <w:rPr>
          <w:sz w:val="24"/>
        </w:rPr>
        <w:t>us</w:t>
      </w:r>
      <w:r w:rsidR="00B3690C">
        <w:rPr>
          <w:sz w:val="24"/>
        </w:rPr>
        <w:t xml:space="preserve"> know how you got the answer.]</w:t>
      </w:r>
    </w:p>
    <w:p w14:paraId="760D7BB2" w14:textId="77777777" w:rsidR="00B3690C" w:rsidRPr="00D44C8A" w:rsidRDefault="00B3690C" w:rsidP="00B3690C">
      <w:pPr>
        <w:ind w:left="720"/>
        <w:rPr>
          <w:sz w:val="16"/>
          <w:szCs w:val="16"/>
        </w:rPr>
      </w:pPr>
    </w:p>
    <w:p w14:paraId="7E4F52CC" w14:textId="77777777" w:rsidR="00B3690C" w:rsidRDefault="00291E15" w:rsidP="00B3690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Graph</w:t>
      </w:r>
      <w:r w:rsidR="00B3690C">
        <w:rPr>
          <w:sz w:val="24"/>
        </w:rPr>
        <w:t xml:space="preserve"> a </w:t>
      </w:r>
      <w:r>
        <w:rPr>
          <w:sz w:val="24"/>
        </w:rPr>
        <w:t>log-</w:t>
      </w:r>
      <w:r w:rsidR="00B3690C">
        <w:rPr>
          <w:sz w:val="24"/>
        </w:rPr>
        <w:t>likelihood profile for this proportion, using R.</w:t>
      </w:r>
    </w:p>
    <w:p w14:paraId="4428551E" w14:textId="77777777" w:rsidR="00B3690C" w:rsidRPr="00D44C8A" w:rsidRDefault="00B3690C" w:rsidP="00B3690C">
      <w:pPr>
        <w:rPr>
          <w:sz w:val="16"/>
          <w:szCs w:val="16"/>
        </w:rPr>
      </w:pPr>
    </w:p>
    <w:p w14:paraId="5A564739" w14:textId="77777777" w:rsidR="00B3690C" w:rsidRDefault="00B3690C" w:rsidP="00B3690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Explore how this probability changes in space and time by</w:t>
      </w:r>
      <w:r w:rsidR="00E577E6">
        <w:rPr>
          <w:sz w:val="24"/>
        </w:rPr>
        <w:t>:</w:t>
      </w:r>
    </w:p>
    <w:p w14:paraId="3AF7420E" w14:textId="77777777" w:rsidR="00B3690C" w:rsidRDefault="00B3690C" w:rsidP="00B3690C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Calculating the maximum likelihood proportion for </w:t>
      </w:r>
      <w:r w:rsidRPr="00E577E6">
        <w:rPr>
          <w:i/>
          <w:sz w:val="24"/>
        </w:rPr>
        <w:t xml:space="preserve">each </w:t>
      </w:r>
      <w:proofErr w:type="gramStart"/>
      <w:r w:rsidRPr="00E577E6">
        <w:rPr>
          <w:i/>
          <w:sz w:val="24"/>
        </w:rPr>
        <w:t>day</w:t>
      </w:r>
      <w:r>
        <w:rPr>
          <w:sz w:val="24"/>
        </w:rPr>
        <w:t>, and</w:t>
      </w:r>
      <w:proofErr w:type="gramEnd"/>
      <w:r>
        <w:rPr>
          <w:sz w:val="24"/>
        </w:rPr>
        <w:t xml:space="preserve"> graphing how this value changes through time. In other words, make a graph with the date on the </w:t>
      </w:r>
      <w:r w:rsidRPr="00E577E6">
        <w:rPr>
          <w:i/>
          <w:sz w:val="24"/>
        </w:rPr>
        <w:t>x</w:t>
      </w:r>
      <w:r>
        <w:rPr>
          <w:sz w:val="24"/>
        </w:rPr>
        <w:t xml:space="preserve">-axis, and the proportion for that day on the </w:t>
      </w:r>
      <w:r w:rsidRPr="00E577E6">
        <w:rPr>
          <w:i/>
          <w:sz w:val="24"/>
        </w:rPr>
        <w:t>y</w:t>
      </w:r>
      <w:r>
        <w:rPr>
          <w:sz w:val="24"/>
        </w:rPr>
        <w:t>-axis.</w:t>
      </w:r>
    </w:p>
    <w:p w14:paraId="3AADDF97" w14:textId="77777777" w:rsidR="00B3690C" w:rsidRDefault="00B3690C" w:rsidP="00B3690C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Calculating the maximum likelihood proportion for </w:t>
      </w:r>
      <w:r w:rsidRPr="00F62344">
        <w:rPr>
          <w:i/>
          <w:sz w:val="24"/>
        </w:rPr>
        <w:t xml:space="preserve">each </w:t>
      </w:r>
      <w:proofErr w:type="gramStart"/>
      <w:r w:rsidRPr="00F62344">
        <w:rPr>
          <w:i/>
          <w:sz w:val="24"/>
        </w:rPr>
        <w:t>site</w:t>
      </w:r>
      <w:r>
        <w:rPr>
          <w:sz w:val="24"/>
        </w:rPr>
        <w:t>, and</w:t>
      </w:r>
      <w:proofErr w:type="gramEnd"/>
      <w:r>
        <w:rPr>
          <w:sz w:val="24"/>
        </w:rPr>
        <w:t xml:space="preserve"> graphing how the proportion varies among sites. In other words, make a graph with the site on the </w:t>
      </w:r>
      <w:r w:rsidRPr="00E577E6">
        <w:rPr>
          <w:i/>
          <w:sz w:val="24"/>
        </w:rPr>
        <w:t>x</w:t>
      </w:r>
      <w:r>
        <w:rPr>
          <w:sz w:val="24"/>
        </w:rPr>
        <w:t xml:space="preserve">-axis and the proportion for that site on the </w:t>
      </w:r>
      <w:r w:rsidRPr="00E577E6">
        <w:rPr>
          <w:i/>
          <w:sz w:val="24"/>
        </w:rPr>
        <w:t>y</w:t>
      </w:r>
      <w:r>
        <w:rPr>
          <w:sz w:val="24"/>
        </w:rPr>
        <w:t>-axis.</w:t>
      </w:r>
    </w:p>
    <w:p w14:paraId="3B6768CA" w14:textId="77777777" w:rsidR="00B3690C" w:rsidRPr="00D44C8A" w:rsidRDefault="00B3690C" w:rsidP="00B3690C">
      <w:pPr>
        <w:rPr>
          <w:sz w:val="16"/>
          <w:szCs w:val="16"/>
        </w:rPr>
      </w:pPr>
    </w:p>
    <w:p w14:paraId="092BEB6C" w14:textId="77777777" w:rsidR="00B3690C" w:rsidRDefault="00B3690C" w:rsidP="00B3690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Calculate the </w:t>
      </w:r>
      <w:r w:rsidR="00291E15" w:rsidRPr="00E577E6">
        <w:rPr>
          <w:i/>
          <w:sz w:val="24"/>
        </w:rPr>
        <w:t>log-</w:t>
      </w:r>
      <w:r w:rsidRPr="00E577E6">
        <w:rPr>
          <w:i/>
          <w:sz w:val="24"/>
        </w:rPr>
        <w:t>likelihood</w:t>
      </w:r>
      <w:r>
        <w:rPr>
          <w:sz w:val="24"/>
        </w:rPr>
        <w:t xml:space="preserve"> of each of the following </w:t>
      </w:r>
      <w:r>
        <w:rPr>
          <w:sz w:val="24"/>
          <w:u w:val="single"/>
        </w:rPr>
        <w:t>models</w:t>
      </w:r>
      <w:r>
        <w:rPr>
          <w:sz w:val="24"/>
        </w:rPr>
        <w:t>, given Norah</w:t>
      </w:r>
      <w:r w:rsidR="00A66F35">
        <w:rPr>
          <w:sz w:val="24"/>
        </w:rPr>
        <w:t xml:space="preserve"> and Cheryl</w:t>
      </w:r>
      <w:r>
        <w:rPr>
          <w:sz w:val="24"/>
        </w:rPr>
        <w:t>’s data:</w:t>
      </w:r>
    </w:p>
    <w:p w14:paraId="74F34022" w14:textId="77777777" w:rsidR="00B3690C" w:rsidRDefault="00B3690C" w:rsidP="00B3690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All the data have the same proportion</w:t>
      </w:r>
    </w:p>
    <w:p w14:paraId="32F05782" w14:textId="77777777" w:rsidR="00B3690C" w:rsidRDefault="00B3690C" w:rsidP="00B3690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The proportion differs among dates (but is the same for all sites)</w:t>
      </w:r>
    </w:p>
    <w:p w14:paraId="4959D325" w14:textId="77777777" w:rsidR="00B3690C" w:rsidRDefault="00B3690C" w:rsidP="00B3690C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The proportion differs among sites (but is the same for all dates)</w:t>
      </w:r>
    </w:p>
    <w:p w14:paraId="1605FFC5" w14:textId="77777777" w:rsidR="001E04FE" w:rsidRDefault="001E04FE" w:rsidP="00B3690C">
      <w:pPr>
        <w:ind w:left="720"/>
        <w:rPr>
          <w:sz w:val="24"/>
        </w:rPr>
      </w:pPr>
    </w:p>
    <w:p w14:paraId="7F31ED6C" w14:textId="77777777" w:rsidR="00B3690C" w:rsidRDefault="00B3690C" w:rsidP="00B3690C">
      <w:pPr>
        <w:ind w:left="720"/>
        <w:rPr>
          <w:sz w:val="24"/>
        </w:rPr>
      </w:pPr>
      <w:r>
        <w:rPr>
          <w:sz w:val="24"/>
        </w:rPr>
        <w:t>HINT #1: These are the three “models” you fit to the data in 1, 3a, and 3b</w:t>
      </w:r>
    </w:p>
    <w:p w14:paraId="396E45AA" w14:textId="77777777" w:rsidR="001E04FE" w:rsidRPr="00D44C8A" w:rsidRDefault="001E04FE" w:rsidP="00B3690C">
      <w:pPr>
        <w:ind w:left="720"/>
        <w:rPr>
          <w:sz w:val="16"/>
          <w:szCs w:val="16"/>
        </w:rPr>
      </w:pPr>
    </w:p>
    <w:p w14:paraId="5673674B" w14:textId="77777777" w:rsidR="004D7304" w:rsidRDefault="00B3690C" w:rsidP="00B3690C">
      <w:pPr>
        <w:ind w:left="720"/>
        <w:rPr>
          <w:sz w:val="24"/>
        </w:rPr>
      </w:pPr>
      <w:r>
        <w:rPr>
          <w:sz w:val="24"/>
        </w:rPr>
        <w:t>HINT #2: You can fit models to different subsets of data</w:t>
      </w:r>
      <w:r w:rsidR="00291E15">
        <w:rPr>
          <w:sz w:val="24"/>
        </w:rPr>
        <w:t xml:space="preserve">, and then use the “AND” rule of probability to combine likelihoods.  [Technically, if you are a theorist, the “AND” rule would apply to the probabilities (of the data, given the model) that you used to calculate the likelihood. But, as a shortcut, </w:t>
      </w:r>
      <w:r w:rsidR="00712B35">
        <w:rPr>
          <w:sz w:val="24"/>
        </w:rPr>
        <w:t>you can combine the likelihoods</w:t>
      </w:r>
      <w:r w:rsidR="004D7304">
        <w:rPr>
          <w:sz w:val="24"/>
        </w:rPr>
        <w:t>.</w:t>
      </w:r>
      <w:r w:rsidR="00712B35">
        <w:rPr>
          <w:sz w:val="24"/>
        </w:rPr>
        <w:t>]</w:t>
      </w:r>
    </w:p>
    <w:p w14:paraId="244E8E9A" w14:textId="77777777" w:rsidR="00E577E6" w:rsidRPr="00E577E6" w:rsidRDefault="00E577E6" w:rsidP="00B3690C">
      <w:pPr>
        <w:ind w:left="720"/>
        <w:rPr>
          <w:sz w:val="16"/>
          <w:szCs w:val="16"/>
        </w:rPr>
      </w:pPr>
    </w:p>
    <w:p w14:paraId="74C16210" w14:textId="77777777" w:rsidR="00E577E6" w:rsidRDefault="00E577E6" w:rsidP="00E577E6">
      <w:pPr>
        <w:ind w:left="720"/>
        <w:rPr>
          <w:sz w:val="24"/>
        </w:rPr>
      </w:pPr>
      <w:r>
        <w:rPr>
          <w:sz w:val="24"/>
        </w:rPr>
        <w:t xml:space="preserve">HINT #3: For a given subset of data, you can obtain the maximum likelihood proportions and estimates using the </w:t>
      </w:r>
      <w:proofErr w:type="spellStart"/>
      <w:r>
        <w:rPr>
          <w:sz w:val="24"/>
        </w:rPr>
        <w:t>glm</w:t>
      </w:r>
      <w:proofErr w:type="spellEnd"/>
      <w:r>
        <w:rPr>
          <w:sz w:val="24"/>
        </w:rPr>
        <w:t xml:space="preserve"> function, e.g.,</w:t>
      </w:r>
    </w:p>
    <w:p w14:paraId="39DC01E4" w14:textId="77777777" w:rsidR="00E577E6" w:rsidRPr="00E577E6" w:rsidRDefault="00E577E6" w:rsidP="00E577E6">
      <w:pPr>
        <w:ind w:left="720"/>
        <w:rPr>
          <w:sz w:val="16"/>
          <w:szCs w:val="16"/>
        </w:rPr>
      </w:pPr>
    </w:p>
    <w:p w14:paraId="484147E4" w14:textId="2B78D63E" w:rsidR="00E577E6" w:rsidRPr="00356828" w:rsidRDefault="00E577E6" w:rsidP="00E577E6">
      <w:pPr>
        <w:ind w:left="1440"/>
        <w:rPr>
          <w:rFonts w:ascii="Courier New" w:hAnsi="Courier New" w:cs="Courier New"/>
        </w:rPr>
      </w:pPr>
      <w:proofErr w:type="spellStart"/>
      <w:r w:rsidRPr="00356828">
        <w:rPr>
          <w:rFonts w:ascii="Courier New" w:hAnsi="Courier New" w:cs="Courier New"/>
        </w:rPr>
        <w:t>subdat</w:t>
      </w:r>
      <w:proofErr w:type="spellEnd"/>
      <w:r w:rsidRPr="00356828">
        <w:rPr>
          <w:rFonts w:ascii="Courier New" w:hAnsi="Courier New" w:cs="Courier New"/>
        </w:rPr>
        <w:t xml:space="preserve"> </w:t>
      </w:r>
      <w:r w:rsidR="004650EF">
        <w:rPr>
          <w:rFonts w:ascii="Courier New" w:hAnsi="Courier New" w:cs="Courier New"/>
        </w:rPr>
        <w:t>&lt;-</w:t>
      </w:r>
      <w:r w:rsidRPr="00356828">
        <w:rPr>
          <w:rFonts w:ascii="Courier New" w:hAnsi="Courier New" w:cs="Courier New"/>
        </w:rPr>
        <w:t xml:space="preserve"> </w:t>
      </w:r>
      <w:proofErr w:type="spellStart"/>
      <w:proofErr w:type="gramStart"/>
      <w:r w:rsidR="004650EF">
        <w:rPr>
          <w:rFonts w:ascii="Courier New" w:hAnsi="Courier New" w:cs="Courier New"/>
        </w:rPr>
        <w:t>dplyr</w:t>
      </w:r>
      <w:proofErr w:type="spellEnd"/>
      <w:r w:rsidR="004650EF">
        <w:rPr>
          <w:rFonts w:ascii="Courier New" w:hAnsi="Courier New" w:cs="Courier New"/>
        </w:rPr>
        <w:t>::</w:t>
      </w:r>
      <w:proofErr w:type="gramEnd"/>
      <w:r w:rsidR="004650EF">
        <w:rPr>
          <w:rFonts w:ascii="Courier New" w:hAnsi="Courier New" w:cs="Courier New"/>
        </w:rPr>
        <w:t>filter(</w:t>
      </w:r>
      <w:proofErr w:type="spellStart"/>
      <w:r w:rsidRPr="00356828">
        <w:rPr>
          <w:rFonts w:ascii="Courier New" w:hAnsi="Courier New" w:cs="Courier New"/>
        </w:rPr>
        <w:t>dat</w:t>
      </w:r>
      <w:proofErr w:type="spellEnd"/>
      <w:r w:rsidR="004650EF">
        <w:rPr>
          <w:rFonts w:ascii="Courier New" w:hAnsi="Courier New" w:cs="Courier New"/>
        </w:rPr>
        <w:t xml:space="preserve">, </w:t>
      </w:r>
      <w:r w:rsidRPr="00356828">
        <w:rPr>
          <w:rFonts w:ascii="Courier New" w:hAnsi="Courier New" w:cs="Courier New"/>
        </w:rPr>
        <w:t>Site == “A”</w:t>
      </w:r>
      <w:r w:rsidR="004650EF">
        <w:rPr>
          <w:rFonts w:ascii="Courier New" w:hAnsi="Courier New" w:cs="Courier New"/>
        </w:rPr>
        <w:t>)</w:t>
      </w:r>
    </w:p>
    <w:p w14:paraId="0B6FDB49" w14:textId="2B721D1D" w:rsidR="00E577E6" w:rsidRDefault="00E577E6" w:rsidP="00E577E6">
      <w:pPr>
        <w:ind w:left="1440"/>
        <w:rPr>
          <w:rFonts w:ascii="Courier New" w:hAnsi="Courier New" w:cs="Courier New"/>
        </w:rPr>
      </w:pPr>
      <w:r w:rsidRPr="00356828">
        <w:rPr>
          <w:rFonts w:ascii="Courier New" w:hAnsi="Courier New" w:cs="Courier New"/>
        </w:rPr>
        <w:t xml:space="preserve">m0 </w:t>
      </w:r>
      <w:r w:rsidR="004650EF">
        <w:rPr>
          <w:rFonts w:ascii="Courier New" w:hAnsi="Courier New" w:cs="Courier New"/>
        </w:rPr>
        <w:t>&lt;-</w:t>
      </w:r>
      <w:r w:rsidRPr="003568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6828">
        <w:rPr>
          <w:rFonts w:ascii="Courier New" w:hAnsi="Courier New" w:cs="Courier New"/>
        </w:rPr>
        <w:t>glm</w:t>
      </w:r>
      <w:proofErr w:type="spellEnd"/>
      <w:r w:rsidRPr="00356828">
        <w:rPr>
          <w:rFonts w:ascii="Courier New" w:hAnsi="Courier New" w:cs="Courier New"/>
        </w:rPr>
        <w:t>(</w:t>
      </w:r>
      <w:proofErr w:type="spellStart"/>
      <w:proofErr w:type="gramEnd"/>
      <w:r w:rsidRPr="00356828">
        <w:rPr>
          <w:rFonts w:ascii="Courier New" w:hAnsi="Courier New" w:cs="Courier New"/>
        </w:rPr>
        <w:t>cbind</w:t>
      </w:r>
      <w:proofErr w:type="spellEnd"/>
      <w:r w:rsidRPr="00356828">
        <w:rPr>
          <w:rFonts w:ascii="Courier New" w:hAnsi="Courier New" w:cs="Courier New"/>
        </w:rPr>
        <w:t xml:space="preserve">(Fenders, Silvery) ~ 1, family = </w:t>
      </w:r>
    </w:p>
    <w:p w14:paraId="5D3C30BF" w14:textId="77777777" w:rsidR="00E577E6" w:rsidRPr="00356828" w:rsidRDefault="00E577E6" w:rsidP="00E577E6">
      <w:pPr>
        <w:ind w:left="1440" w:firstLine="720"/>
        <w:rPr>
          <w:rFonts w:ascii="Courier New" w:hAnsi="Courier New" w:cs="Courier New"/>
        </w:rPr>
      </w:pPr>
      <w:proofErr w:type="gramStart"/>
      <w:r w:rsidRPr="00356828">
        <w:rPr>
          <w:rFonts w:ascii="Courier New" w:hAnsi="Courier New" w:cs="Courier New"/>
        </w:rPr>
        <w:t>binomial(</w:t>
      </w:r>
      <w:proofErr w:type="gramEnd"/>
      <w:r w:rsidRPr="00356828">
        <w:rPr>
          <w:rFonts w:ascii="Courier New" w:hAnsi="Courier New" w:cs="Courier New"/>
        </w:rPr>
        <w:t xml:space="preserve">link = “identity”), data = </w:t>
      </w:r>
      <w:proofErr w:type="spellStart"/>
      <w:r w:rsidRPr="00356828">
        <w:rPr>
          <w:rFonts w:ascii="Courier New" w:hAnsi="Courier New" w:cs="Courier New"/>
        </w:rPr>
        <w:t>subdat</w:t>
      </w:r>
      <w:proofErr w:type="spellEnd"/>
      <w:r w:rsidRPr="00356828">
        <w:rPr>
          <w:rFonts w:ascii="Courier New" w:hAnsi="Courier New" w:cs="Courier New"/>
        </w:rPr>
        <w:t>)</w:t>
      </w:r>
    </w:p>
    <w:p w14:paraId="6926F630" w14:textId="77777777" w:rsidR="00E577E6" w:rsidRPr="00356828" w:rsidRDefault="00E577E6" w:rsidP="00E577E6">
      <w:pPr>
        <w:ind w:left="1440"/>
        <w:rPr>
          <w:rFonts w:ascii="Courier New" w:hAnsi="Courier New" w:cs="Courier New"/>
        </w:rPr>
      </w:pPr>
      <w:proofErr w:type="spellStart"/>
      <w:r w:rsidRPr="00356828">
        <w:rPr>
          <w:rFonts w:ascii="Courier New" w:hAnsi="Courier New" w:cs="Courier New"/>
        </w:rPr>
        <w:t>coef</w:t>
      </w:r>
      <w:proofErr w:type="spellEnd"/>
      <w:r w:rsidRPr="00356828">
        <w:rPr>
          <w:rFonts w:ascii="Courier New" w:hAnsi="Courier New" w:cs="Courier New"/>
        </w:rPr>
        <w:t>(m0)</w:t>
      </w:r>
    </w:p>
    <w:p w14:paraId="16BF715F" w14:textId="77777777" w:rsidR="00E577E6" w:rsidRPr="00E577E6" w:rsidRDefault="00E577E6" w:rsidP="00E577E6">
      <w:pPr>
        <w:ind w:left="1440"/>
        <w:rPr>
          <w:rFonts w:ascii="Courier New" w:hAnsi="Courier New" w:cs="Courier New"/>
        </w:rPr>
      </w:pPr>
      <w:proofErr w:type="spellStart"/>
      <w:r w:rsidRPr="00356828">
        <w:rPr>
          <w:rFonts w:ascii="Courier New" w:hAnsi="Courier New" w:cs="Courier New"/>
        </w:rPr>
        <w:t>logLik</w:t>
      </w:r>
      <w:proofErr w:type="spellEnd"/>
      <w:r w:rsidRPr="00356828">
        <w:rPr>
          <w:rFonts w:ascii="Courier New" w:hAnsi="Courier New" w:cs="Courier New"/>
        </w:rPr>
        <w:t>(m0)</w:t>
      </w:r>
    </w:p>
    <w:p w14:paraId="496D0C7F" w14:textId="77777777" w:rsidR="004D7304" w:rsidRPr="00D44C8A" w:rsidRDefault="004D7304" w:rsidP="00B3690C">
      <w:pPr>
        <w:ind w:left="720"/>
        <w:rPr>
          <w:sz w:val="16"/>
          <w:szCs w:val="16"/>
        </w:rPr>
      </w:pPr>
    </w:p>
    <w:p w14:paraId="77854CCF" w14:textId="77777777" w:rsidR="008B6A56" w:rsidRDefault="008B6A56" w:rsidP="008B6A5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Which of the models in </w:t>
      </w:r>
      <w:r w:rsidR="00DB48D8">
        <w:rPr>
          <w:sz w:val="24"/>
        </w:rPr>
        <w:t>question</w:t>
      </w:r>
      <w:r>
        <w:rPr>
          <w:sz w:val="24"/>
        </w:rPr>
        <w:t xml:space="preserve"> 4 are nested? Which are non-nested?</w:t>
      </w:r>
    </w:p>
    <w:p w14:paraId="4FE097E3" w14:textId="77777777" w:rsidR="008B6A56" w:rsidRDefault="008B6A56" w:rsidP="008B6A56">
      <w:pPr>
        <w:ind w:left="720"/>
        <w:rPr>
          <w:sz w:val="24"/>
        </w:rPr>
      </w:pPr>
    </w:p>
    <w:p w14:paraId="762FAE83" w14:textId="77777777" w:rsidR="00B3690C" w:rsidRDefault="004D7304" w:rsidP="004D730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Which model do you think is best for these data?  </w:t>
      </w:r>
      <w:r w:rsidR="00E577E6">
        <w:rPr>
          <w:sz w:val="24"/>
        </w:rPr>
        <w:t xml:space="preserve">Justify your answers using logic and/or formal statistics. </w:t>
      </w:r>
    </w:p>
    <w:p w14:paraId="1E46C9A2" w14:textId="77777777" w:rsidR="001B1288" w:rsidRDefault="001B1288">
      <w:pPr>
        <w:rPr>
          <w:sz w:val="24"/>
        </w:rPr>
      </w:pPr>
    </w:p>
    <w:p w14:paraId="1CB21103" w14:textId="77777777" w:rsidR="001121E9" w:rsidRPr="001121E9" w:rsidRDefault="001121E9">
      <w:pPr>
        <w:rPr>
          <w:sz w:val="24"/>
        </w:rPr>
      </w:pPr>
    </w:p>
    <w:sectPr w:rsidR="001121E9" w:rsidRPr="001121E9" w:rsidSect="009761AA">
      <w:pgSz w:w="12240" w:h="15840"/>
      <w:pgMar w:top="1008" w:right="972" w:bottom="1008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567C"/>
    <w:multiLevelType w:val="hybridMultilevel"/>
    <w:tmpl w:val="8260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37"/>
    <w:rsid w:val="00023C7E"/>
    <w:rsid w:val="00086BCB"/>
    <w:rsid w:val="001121E9"/>
    <w:rsid w:val="001B0C7F"/>
    <w:rsid w:val="001B1288"/>
    <w:rsid w:val="001E04FE"/>
    <w:rsid w:val="001F42B2"/>
    <w:rsid w:val="002437EE"/>
    <w:rsid w:val="00253A71"/>
    <w:rsid w:val="00291E15"/>
    <w:rsid w:val="002F15B7"/>
    <w:rsid w:val="00300182"/>
    <w:rsid w:val="003004A0"/>
    <w:rsid w:val="004650EF"/>
    <w:rsid w:val="004D7304"/>
    <w:rsid w:val="0053154D"/>
    <w:rsid w:val="00574937"/>
    <w:rsid w:val="00627503"/>
    <w:rsid w:val="00650487"/>
    <w:rsid w:val="007038A0"/>
    <w:rsid w:val="00712B35"/>
    <w:rsid w:val="00734189"/>
    <w:rsid w:val="00737EA5"/>
    <w:rsid w:val="00807EB1"/>
    <w:rsid w:val="00862076"/>
    <w:rsid w:val="0086320B"/>
    <w:rsid w:val="008B6A56"/>
    <w:rsid w:val="0094617A"/>
    <w:rsid w:val="009761AA"/>
    <w:rsid w:val="00993B46"/>
    <w:rsid w:val="00A17FE3"/>
    <w:rsid w:val="00A66F35"/>
    <w:rsid w:val="00AD4A0C"/>
    <w:rsid w:val="00B3690C"/>
    <w:rsid w:val="00B96ECE"/>
    <w:rsid w:val="00C12AE4"/>
    <w:rsid w:val="00CC5A2F"/>
    <w:rsid w:val="00D051EF"/>
    <w:rsid w:val="00D05B58"/>
    <w:rsid w:val="00D26668"/>
    <w:rsid w:val="00D44C8A"/>
    <w:rsid w:val="00DA60F1"/>
    <w:rsid w:val="00DB48D8"/>
    <w:rsid w:val="00E577E6"/>
    <w:rsid w:val="00E96A21"/>
    <w:rsid w:val="00EA335A"/>
    <w:rsid w:val="00F62344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8FAB4"/>
  <w15:chartTrackingRefBased/>
  <w15:docId w15:val="{C11E07F7-2217-B946-82A6-8095203A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0C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3004A0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D44C8A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627503"/>
    <w:rPr>
      <w:sz w:val="18"/>
      <w:szCs w:val="18"/>
    </w:rPr>
  </w:style>
  <w:style w:type="character" w:customStyle="1" w:styleId="BalloonTextChar">
    <w:name w:val="Balloon Text Char"/>
    <w:link w:val="BalloonText"/>
    <w:rsid w:val="0062750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WBIO 240 – Introduction to Biostatistics</vt:lpstr>
    </vt:vector>
  </TitlesOfParts>
  <Company>University of Calgary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WBIO 240 – Introduction to Biostatistics</dc:title>
  <dc:subject/>
  <dc:creator>Elizabeth E. Crone</dc:creator>
  <cp:keywords/>
  <cp:lastModifiedBy>Scott, Eric R.</cp:lastModifiedBy>
  <cp:revision>3</cp:revision>
  <cp:lastPrinted>2019-02-12T19:34:00Z</cp:lastPrinted>
  <dcterms:created xsi:type="dcterms:W3CDTF">2020-01-30T19:10:00Z</dcterms:created>
  <dcterms:modified xsi:type="dcterms:W3CDTF">2020-01-31T20:33:00Z</dcterms:modified>
</cp:coreProperties>
</file>