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Faculty Teaching &amp; Academic Support Guide - 32Smiles</w:t>
      </w:r>
    </w:p>
    <w:p>
      <w:pPr>
        <w:pStyle w:val="Heading2"/>
      </w:pPr>
      <w:r>
        <w:t>Lecture Planning Structure</w:t>
      </w:r>
    </w:p>
    <w:p>
      <w:pPr>
        <w:pStyle w:val="ListNumber"/>
      </w:pPr>
      <w:r>
        <w:t>Introduction (5 minutes)</w:t>
      </w:r>
    </w:p>
    <w:p>
      <w:pPr>
        <w:pStyle w:val="ListNumber"/>
      </w:pPr>
      <w:r>
        <w:t>Theory explanation (20 minutes)</w:t>
      </w:r>
    </w:p>
    <w:p>
      <w:pPr>
        <w:pStyle w:val="ListNumber"/>
      </w:pPr>
      <w:r>
        <w:t>Clinical demonstration</w:t>
      </w:r>
    </w:p>
    <w:p>
      <w:pPr>
        <w:pStyle w:val="Heading2"/>
      </w:pPr>
      <w:r>
        <w:t>Assessment Rubric</w:t>
      </w:r>
    </w:p>
    <w:p>
      <w:pPr>
        <w:pStyle w:val="ListBullet"/>
      </w:pPr>
      <w:r>
        <w:t>Clinical Skill - 10 marks</w:t>
      </w:r>
    </w:p>
    <w:p>
      <w:pPr>
        <w:pStyle w:val="ListBullet"/>
      </w:pPr>
      <w:r>
        <w:t>Infection Control - 5 marks</w:t>
      </w:r>
    </w:p>
    <w:p>
      <w:pPr>
        <w:pStyle w:val="ListBullet"/>
      </w:pPr>
      <w:r>
        <w:t>Patient Communication - 5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