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Cloud-Native Hybrid Threat Detection System</w:t>
        <w:br/>
        <w:t>with Agentic AI Autonomous Response</w:t>
      </w:r>
    </w:p>
    <w:p>
      <w:pPr>
        <w:jc w:val="center"/>
      </w:pPr>
      <w:r>
        <w:rPr>
          <w:rFonts w:ascii="Times New Roman" w:hAnsi="Times New Roman"/>
          <w:b/>
          <w:sz w:val="22"/>
        </w:rPr>
        <w:t>Aarit Haldar</w:t>
      </w:r>
      <w:r>
        <w:rPr>
          <w:rFonts w:ascii="Times New Roman" w:hAnsi="Times New Roman"/>
          <w:sz w:val="20"/>
        </w:rPr>
        <w:br/>
        <w:t>Dept. of Computer Science &amp; Engineering</w:t>
        <w:br/>
        <w:t>Dayananda Sagar College of Engineering</w:t>
        <w:br/>
        <w:t>Bengaluru, India</w:t>
        <w:br/>
        <w:t>USN: ENG24CY0073</w:t>
      </w:r>
    </w:p>
    <w:p/>
    <w:p>
      <w:pPr>
        <w:jc w:val="center"/>
      </w:pPr>
      <w:r>
        <w:rPr>
          <w:rFonts w:ascii="Times New Roman" w:hAnsi="Times New Roman"/>
          <w:b/>
          <w:sz w:val="22"/>
        </w:rPr>
        <w:t>Priyanshu Sithole</w:t>
      </w:r>
      <w:r>
        <w:rPr>
          <w:rFonts w:ascii="Times New Roman" w:hAnsi="Times New Roman"/>
          <w:sz w:val="20"/>
        </w:rPr>
        <w:br/>
        <w:t>Dept. of Computer Science &amp; Engineering</w:t>
        <w:br/>
        <w:t>Dayananda Sagar College of Engineering</w:t>
        <w:br/>
        <w:t>Bengaluru, India</w:t>
        <w:br/>
        <w:t>USN: ENG24CY0189</w:t>
      </w:r>
    </w:p>
    <w:p/>
    <w:p>
      <w:pPr>
        <w:jc w:val="center"/>
      </w:pPr>
      <w:r>
        <w:rPr>
          <w:rFonts w:ascii="Times New Roman" w:hAnsi="Times New Roman"/>
          <w:b/>
          <w:sz w:val="22"/>
        </w:rPr>
        <w:t>Jay Bhagat</w:t>
      </w:r>
      <w:r>
        <w:rPr>
          <w:rFonts w:ascii="Times New Roman" w:hAnsi="Times New Roman"/>
          <w:sz w:val="20"/>
        </w:rPr>
        <w:br/>
        <w:t>Dept. of Computer Science &amp; Engineering</w:t>
        <w:br/>
        <w:t>Dayananda Sagar College of Engineering</w:t>
        <w:br/>
        <w:t>Bengaluru, India</w:t>
        <w:br/>
        <w:t>USN: ENG24CY0089</w:t>
      </w:r>
    </w:p>
    <w:p/>
    <w:p>
      <w:pPr>
        <w:jc w:val="center"/>
      </w:pPr>
      <w:r>
        <w:rPr>
          <w:b/>
          <w:i/>
          <w:sz w:val="20"/>
        </w:rPr>
        <w:t>Abstract</w:t>
      </w:r>
    </w:p>
    <w:p>
      <w:pPr>
        <w:jc w:val="both"/>
      </w:pPr>
      <w:r>
        <w:rPr>
          <w:i/>
          <w:sz w:val="18"/>
        </w:rPr>
        <w:t>This paper presents a Cloud-Native Hybrid Threat Detection System that combines Network-based Intrusion Detection (IDS) and User &amp; Entity Behavior Analytics (UEBA) through a novel 60/40 weighted risk fusion algorithm. The system integrates an Agentic AI layer powered by locally-deployed Large Language Models (Ollama/Qwen 2.5) implementing the ReAct (Reasoning and Acting) paradigm for explainable, autonomous threat response. Deployed on AWS infrastructure using CloudWatch and CloudTrail as data sources, the system achieves real-time threat detection with zero false positives during controlled testing, sub-10ms inference latency, and a four-tier graduated autonomous response mechanism (LOG, ALERT, RATE_LIMIT, BLOCK). The Agentic AI provides natural language explainability, tool-calling capabilities for intelligence gathering, and persistent decision memory via SQLite for continuous learning — all while maintaining zero cloud API costs and complete data privacy through local inference. Experimental results demonstrate 100% detection accuracy across four distinct threat scenarios including normal traffic, suspicious activity, DDoS attacks, and compromised account situations.</w:t>
      </w:r>
    </w:p>
    <w:p>
      <w:pPr>
        <w:jc w:val="both"/>
      </w:pPr>
      <w:r>
        <w:rPr>
          <w:b/>
          <w:i/>
          <w:sz w:val="18"/>
        </w:rPr>
        <w:t xml:space="preserve">Keywords — </w:t>
      </w:r>
      <w:r>
        <w:rPr>
          <w:i/>
          <w:sz w:val="18"/>
        </w:rPr>
        <w:t>Intrusion Detection System, User Behavior Analytics, Anomaly Detection, Isolation Forest, Agentic AI, ReAct Reasoning, Explainable AI, AWS Cloud Security, Autonomous Response, Weighted Fusion Algorithm</w:t>
      </w:r>
    </w:p>
    <w:p>
      <w:pPr>
        <w:jc w:val="center"/>
      </w:pPr>
      <w:r>
        <w:rPr>
          <w:rFonts w:ascii="Times New Roman" w:hAnsi="Times New Roman"/>
          <w:b/>
          <w:sz w:val="20"/>
        </w:rPr>
        <w:t>I. INTRODUCTION</w:t>
      </w:r>
    </w:p>
    <w:p>
      <w:pPr>
        <w:ind w:firstLine="283"/>
        <w:jc w:val="both"/>
      </w:pPr>
      <w:r>
        <w:rPr>
          <w:rFonts w:ascii="Times New Roman" w:hAnsi="Times New Roman"/>
          <w:sz w:val="20"/>
        </w:rPr>
        <w:t>Modern cloud computing environments face an unprecedented volume of cybersecurity threats ranging from volumetric DDoS attacks to sophisticated insider threats involving compromised credentials and lateral movement. Traditional Security Operations Centers (SOCs) process over 4,300 security alerts per day on average, leading to analyst burnout and "alert fatigue" — a condition where genuine threats are missed due to the overwhelming volume of false positives [1]. Existing Intrusion Detection Systems (IDS) evaluate network traffic in isolation, often triggering alerts for legitimate traffic spikes, while User and Entity Behavior Analytics (UEBA) systems operate independently without network context.</w:t>
      </w:r>
    </w:p>
    <w:p>
      <w:pPr>
        <w:ind w:firstLine="283"/>
        <w:jc w:val="both"/>
      </w:pPr>
      <w:r>
        <w:rPr>
          <w:rFonts w:ascii="Times New Roman" w:hAnsi="Times New Roman"/>
          <w:sz w:val="20"/>
        </w:rPr>
        <w:t>This paper addresses these challenges by presenting a hybrid threat detection architecture that combines network anomaly detection (IDS) and user behavior analytics (UEBA) through a novel 60/40 weighted risk fusion algorithm. The combined risk score drives a four-tier graduated autonomous response system. An Agentic AI layer, implementing the ReAct (Reason + Act) paradigm [2], provides natural language explainability and tool-calling capabilities for real-time intelligence gathering. Unlike existing approaches that rely on cloud-hosted LLMs incurring API costs and privacy risks [3][4], our system runs entirely locally using Ollama inference, achieving zero operational cost and complete data sovereignty.</w:t>
      </w:r>
    </w:p>
    <w:p>
      <w:pPr>
        <w:ind w:firstLine="283"/>
        <w:jc w:val="both"/>
      </w:pPr>
      <w:r>
        <w:rPr>
          <w:rFonts w:ascii="Times New Roman" w:hAnsi="Times New Roman"/>
          <w:sz w:val="20"/>
        </w:rPr>
        <w:t>The key contributions of this paper are: (1) A novel cross-domain weighted fusion algorithm combining IDS and UEBA outputs for contextual threat assessment; (2) First application of the ReAct reasoning paradigm to end-to-end cloud threat detection and autonomous response; (3) A zero-cost, privacy-preserving AI security agent using local LLM inference; (4) Integrated persistent decision memory with feedback loops for continuous learning; and (5) Natural language explainability generated during the decision process rather than post-hoc analysis.</w:t>
      </w:r>
    </w:p>
    <w:p>
      <w:pPr>
        <w:jc w:val="center"/>
      </w:pPr>
      <w:r>
        <w:rPr>
          <w:rFonts w:ascii="Times New Roman" w:hAnsi="Times New Roman"/>
          <w:b/>
          <w:sz w:val="20"/>
        </w:rPr>
        <w:t>II. RELATED WORK</w:t>
      </w:r>
    </w:p>
    <w:p>
      <w:r>
        <w:rPr>
          <w:rFonts w:ascii="Times New Roman" w:hAnsi="Times New Roman"/>
          <w:i/>
          <w:sz w:val="20"/>
        </w:rPr>
        <w:t>A. Isolation Forest for Anomaly Detection</w:t>
      </w:r>
    </w:p>
    <w:p>
      <w:pPr>
        <w:ind w:firstLine="283"/>
        <w:jc w:val="both"/>
      </w:pPr>
      <w:r>
        <w:rPr>
          <w:rFonts w:ascii="Times New Roman" w:hAnsi="Times New Roman"/>
          <w:sz w:val="20"/>
        </w:rPr>
        <w:t>The Isolation Forest (iForest) algorithm, originally proposed by Liu, Ting, and Zhou in 2008 [5], remains a foundational technique for unsupervised anomaly detection. Recent work by Zehra et al. (2025) [6] combines iForest with Variational Autoencoders in the DeSFAM framework for securing cloud containers. Djidjev (2025) [7] proposed siForest, adapting iForest for set-structured network scan data. The IF-DLDD framework [8] addresses concept drift in network traffic using sliding-window iForest with statistical T-test verification. However, none of these works combine iForest with weighted multi-source fusion or AI reasoning layers.</w:t>
      </w:r>
    </w:p>
    <w:p>
      <w:r>
        <w:rPr>
          <w:rFonts w:ascii="Times New Roman" w:hAnsi="Times New Roman"/>
          <w:i/>
          <w:sz w:val="20"/>
        </w:rPr>
        <w:t>B. Hybrid IDS and Fusion Approaches</w:t>
      </w:r>
    </w:p>
    <w:p>
      <w:pPr>
        <w:ind w:firstLine="283"/>
        <w:jc w:val="both"/>
      </w:pPr>
      <w:r>
        <w:rPr>
          <w:rFonts w:ascii="Times New Roman" w:hAnsi="Times New Roman"/>
          <w:sz w:val="20"/>
        </w:rPr>
        <w:t>Hybrid IDS architectures combining signature-based and anomaly-based detection have gained significant traction [9]. Two-stream models using iForest as a rapid statistical filter followed by deep behavioral profiling (Autoencoders/GANs) have been proposed [10]. Adaptive systems combining iForest with Suricata for dual zero-day and known-threat detection have been developed [11]. While these approaches fuse detection methods or processing stages, none fuse fundamentally different detection paradigms (network vs. user behavior) as our system does.</w:t>
      </w:r>
    </w:p>
    <w:p>
      <w:r>
        <w:rPr>
          <w:rFonts w:ascii="Times New Roman" w:hAnsi="Times New Roman"/>
          <w:i/>
          <w:sz w:val="20"/>
        </w:rPr>
        <w:t>C. Agentic AI for Cybersecurity</w:t>
      </w:r>
    </w:p>
    <w:p>
      <w:pPr>
        <w:ind w:firstLine="283"/>
        <w:jc w:val="both"/>
      </w:pPr>
      <w:r>
        <w:rPr>
          <w:rFonts w:ascii="Times New Roman" w:hAnsi="Times New Roman"/>
          <w:sz w:val="20"/>
        </w:rPr>
        <w:t>The ReAct paradigm, introduced by Yao et al. at ICLR 2023 [2], demonstrated that LLMs can interleave reasoning traces and tool-calling actions. Baral, Saha, and Haque (2025) [3] applied ReAct agents with LangGraph for autonomous cyber incident response at IWCMC 2025. Nakash et al. from IBM Research (2025) [12] explored security vulnerabilities in ReAct agents at NAACL 2025. Verma (2025) [4] advocated for graduated autonomous response mechanisms in AI-driven incident response. Our work extends these by implementing the full ReAct pipeline from detection through autonomous response using local, privacy-preserving LLM inference.</w:t>
      </w:r>
    </w:p>
    <w:p>
      <w:r>
        <w:rPr>
          <w:rFonts w:ascii="Times New Roman" w:hAnsi="Times New Roman"/>
          <w:i/>
          <w:sz w:val="20"/>
        </w:rPr>
        <w:t>D. Explainable AI in Cybersecurity</w:t>
      </w:r>
    </w:p>
    <w:p>
      <w:pPr>
        <w:ind w:firstLine="283"/>
        <w:jc w:val="both"/>
      </w:pPr>
      <w:r>
        <w:rPr>
          <w:rFonts w:ascii="Times New Roman" w:hAnsi="Times New Roman"/>
          <w:sz w:val="20"/>
        </w:rPr>
        <w:t>The dominant XAI approach for IDS involves post-hoc methods like SHAP and LIME [13]. Lin, Avina, and Santoyo (2025) [1] proposed GenAI-based false alert suppression using analyst feedback. Recent surveys [14] document the transition toward AI-augmented SOCs with real-time explainability requirements. Unlike post-hoc mathematical explanations, our system generates natural language reasoning during the decision process as part of the ReAct trace, providing immediately actionable explanations for non-technical stakeholders.</w:t>
      </w:r>
    </w:p>
    <w:p>
      <w:pPr>
        <w:jc w:val="center"/>
      </w:pPr>
      <w:r>
        <w:rPr>
          <w:rFonts w:ascii="Times New Roman" w:hAnsi="Times New Roman"/>
          <w:b/>
          <w:sz w:val="20"/>
        </w:rPr>
        <w:t>III. SYSTEM ARCHITECTURE</w:t>
      </w:r>
    </w:p>
    <w:p>
      <w:pPr>
        <w:ind w:firstLine="283"/>
        <w:jc w:val="both"/>
      </w:pPr>
      <w:r>
        <w:rPr>
          <w:rFonts w:ascii="Times New Roman" w:hAnsi="Times New Roman"/>
          <w:sz w:val="20"/>
        </w:rPr>
        <w:t>The proposed system employs a layered architecture with three principal components: (1) a dual-channel detection layer comprising network IDS and user UEBA engines, (2) a mathematical fusion layer implementing the 60/40 weighted risk algorithm, and (3) an Agentic AI decision augmentation layer implementing the ReAct reasoning loop.</w:t>
      </w:r>
    </w:p>
    <w:p>
      <w:r>
        <w:rPr>
          <w:rFonts w:ascii="Times New Roman" w:hAnsi="Times New Roman"/>
          <w:i/>
          <w:sz w:val="20"/>
        </w:rPr>
        <w:t>A. Detection Layer</w:t>
      </w:r>
    </w:p>
    <w:p>
      <w:pPr>
        <w:ind w:firstLine="283"/>
        <w:jc w:val="both"/>
      </w:pPr>
      <w:r>
        <w:rPr>
          <w:rFonts w:ascii="Times New Roman" w:hAnsi="Times New Roman"/>
          <w:sz w:val="20"/>
        </w:rPr>
        <w:t>The IDS engine monitors AWS CloudWatch metrics including CPU utilization, network traffic volume (bytes in/out), packet rates, and connection counts from EC2 instances. An Isolation Forest model (ddos_model.pkl) trained on baseline metrics produces a network risk score in the range [0, 1]. Simultaneously, the UEBA engine analyzes AWS CloudTrail logs capturing API calls, login patterns, resource access frequencies, and session durations. A separate Isolation Forest model (uba_model.pkl) produces a user risk score in [0, 1].</w:t>
      </w:r>
    </w:p>
    <w:p>
      <w:r>
        <w:rPr>
          <w:rFonts w:ascii="Times New Roman" w:hAnsi="Times New Roman"/>
          <w:i/>
          <w:sz w:val="20"/>
        </w:rPr>
        <w:t>B. Fusion Layer: 60/40 Weighted Risk Algorithm</w:t>
      </w:r>
    </w:p>
    <w:p>
      <w:pPr>
        <w:ind w:firstLine="283"/>
        <w:jc w:val="both"/>
      </w:pPr>
      <w:r>
        <w:rPr>
          <w:rFonts w:ascii="Times New Roman" w:hAnsi="Times New Roman"/>
          <w:sz w:val="20"/>
        </w:rPr>
        <w:t>The two risk scores are combined using the weighted fusion formula:</w:t>
      </w:r>
    </w:p>
    <w:p>
      <w:pPr>
        <w:jc w:val="center"/>
      </w:pPr>
      <w:r>
        <w:rPr>
          <w:i/>
          <w:sz w:val="20"/>
        </w:rPr>
        <w:t>Final Risk = (0.6 × Network Risk) + (0.4 × User Risk)        (1)</w:t>
      </w:r>
    </w:p>
    <w:p>
      <w:pPr>
        <w:ind w:firstLine="283"/>
        <w:jc w:val="both"/>
      </w:pPr>
      <w:r>
        <w:rPr>
          <w:rFonts w:ascii="Times New Roman" w:hAnsi="Times New Roman"/>
          <w:sz w:val="20"/>
        </w:rPr>
        <w:t>The 60/40 weighting was empirically determined through comparative testing against 50/50 and 70/30 configurations. Network metrics receive 60% weight due to their high reliability for detecting external volumetric attacks (DDoS). User behavior receives 40% weight to provide contextual validation that prevents false positives. For example, during a DDoS attack, network risk is 0.95 but user risk is 0.10. At 60/40, the final risk is 0.61 (RATE_LIMIT). A 50/50 weighting would yield 0.525 (only ALERT), providing slower response. The resulting score maps to graduated response thresholds:</w:t>
      </w:r>
    </w:p>
    <w:tbl>
      <w:tblPr>
        <w:tblW w:type="auto" w:w="0"/>
        <w:jc w:val="center"/>
        <w:tblLook w:firstColumn="1" w:firstRow="1" w:lastColumn="0" w:lastRow="0" w:noHBand="0" w:noVBand="1" w:val="04A0"/>
      </w:tblPr>
      <w:tblGrid>
        <w:gridCol w:w="3419"/>
        <w:gridCol w:w="3419"/>
        <w:gridCol w:w="3419"/>
      </w:tblGrid>
      <w:tr>
        <w:tc>
          <w:tcPr>
            <w:tcW w:type="dxa" w:w="3419"/>
          </w:tcPr>
          <w:p>
            <w:r>
              <w:rPr>
                <w:b/>
                <w:sz w:val="18"/>
              </w:rPr>
              <w:t>Risk Score Range</w:t>
            </w:r>
          </w:p>
        </w:tc>
        <w:tc>
          <w:tcPr>
            <w:tcW w:type="dxa" w:w="3419"/>
          </w:tcPr>
          <w:p>
            <w:r>
              <w:rPr>
                <w:b/>
                <w:sz w:val="18"/>
              </w:rPr>
              <w:t>Threat Level</w:t>
            </w:r>
          </w:p>
        </w:tc>
        <w:tc>
          <w:tcPr>
            <w:tcW w:type="dxa" w:w="3419"/>
          </w:tcPr>
          <w:p>
            <w:r>
              <w:rPr>
                <w:b/>
                <w:sz w:val="18"/>
              </w:rPr>
              <w:t>Autonomous Action</w:t>
            </w:r>
          </w:p>
        </w:tc>
      </w:tr>
      <w:tr>
        <w:tc>
          <w:tcPr>
            <w:tcW w:type="dxa" w:w="3419"/>
          </w:tcPr>
          <w:p>
            <w:r>
              <w:rPr>
                <w:sz w:val="18"/>
              </w:rPr>
              <w:t>&lt; 0.4</w:t>
            </w:r>
          </w:p>
        </w:tc>
        <w:tc>
          <w:tcPr>
            <w:tcW w:type="dxa" w:w="3419"/>
          </w:tcPr>
          <w:p>
            <w:r>
              <w:rPr>
                <w:sz w:val="18"/>
              </w:rPr>
              <w:t>LOW</w:t>
            </w:r>
          </w:p>
        </w:tc>
        <w:tc>
          <w:tcPr>
            <w:tcW w:type="dxa" w:w="3419"/>
          </w:tcPr>
          <w:p>
            <w:r>
              <w:rPr>
                <w:sz w:val="18"/>
              </w:rPr>
              <w:t>LOG (record only)</w:t>
            </w:r>
          </w:p>
        </w:tc>
      </w:tr>
      <w:tr>
        <w:tc>
          <w:tcPr>
            <w:tcW w:type="dxa" w:w="3419"/>
          </w:tcPr>
          <w:p>
            <w:r>
              <w:rPr>
                <w:sz w:val="18"/>
              </w:rPr>
              <w:t>0.4 – 0.6</w:t>
            </w:r>
          </w:p>
        </w:tc>
        <w:tc>
          <w:tcPr>
            <w:tcW w:type="dxa" w:w="3419"/>
          </w:tcPr>
          <w:p>
            <w:r>
              <w:rPr>
                <w:sz w:val="18"/>
              </w:rPr>
              <w:t>MEDIUM</w:t>
            </w:r>
          </w:p>
        </w:tc>
        <w:tc>
          <w:tcPr>
            <w:tcW w:type="dxa" w:w="3419"/>
          </w:tcPr>
          <w:p>
            <w:r>
              <w:rPr>
                <w:sz w:val="18"/>
              </w:rPr>
              <w:t>ALERT (notify SOC team)</w:t>
            </w:r>
          </w:p>
        </w:tc>
      </w:tr>
      <w:tr>
        <w:tc>
          <w:tcPr>
            <w:tcW w:type="dxa" w:w="3419"/>
          </w:tcPr>
          <w:p>
            <w:r>
              <w:rPr>
                <w:sz w:val="18"/>
              </w:rPr>
              <w:t>0.6 – 0.8</w:t>
            </w:r>
          </w:p>
        </w:tc>
        <w:tc>
          <w:tcPr>
            <w:tcW w:type="dxa" w:w="3419"/>
          </w:tcPr>
          <w:p>
            <w:r>
              <w:rPr>
                <w:sz w:val="18"/>
              </w:rPr>
              <w:t>HIGH</w:t>
            </w:r>
          </w:p>
        </w:tc>
        <w:tc>
          <w:tcPr>
            <w:tcW w:type="dxa" w:w="3419"/>
          </w:tcPr>
          <w:p>
            <w:r>
              <w:rPr>
                <w:sz w:val="18"/>
              </w:rPr>
              <w:t>RATE_LIMIT (throttle traffic)</w:t>
            </w:r>
          </w:p>
        </w:tc>
      </w:tr>
      <w:tr>
        <w:tc>
          <w:tcPr>
            <w:tcW w:type="dxa" w:w="3419"/>
          </w:tcPr>
          <w:p>
            <w:r>
              <w:rPr>
                <w:sz w:val="18"/>
              </w:rPr>
              <w:t>&gt;= 0.8</w:t>
            </w:r>
          </w:p>
        </w:tc>
        <w:tc>
          <w:tcPr>
            <w:tcW w:type="dxa" w:w="3419"/>
          </w:tcPr>
          <w:p>
            <w:r>
              <w:rPr>
                <w:sz w:val="18"/>
              </w:rPr>
              <w:t>CRITICAL</w:t>
            </w:r>
          </w:p>
        </w:tc>
        <w:tc>
          <w:tcPr>
            <w:tcW w:type="dxa" w:w="3419"/>
          </w:tcPr>
          <w:p>
            <w:r>
              <w:rPr>
                <w:sz w:val="18"/>
              </w:rPr>
              <w:t>BLOCK (AWS Security Group deny rule)</w:t>
            </w:r>
          </w:p>
        </w:tc>
      </w:tr>
    </w:tbl>
    <w:p>
      <w:pPr>
        <w:jc w:val="center"/>
      </w:pPr>
      <w:r>
        <w:rPr>
          <w:i/>
          <w:sz w:val="16"/>
        </w:rPr>
        <w:t>TABLE I. Graduated Response Thresholds</w:t>
      </w:r>
    </w:p>
    <w:p>
      <w:r>
        <w:rPr>
          <w:rFonts w:ascii="Times New Roman" w:hAnsi="Times New Roman"/>
          <w:i/>
          <w:sz w:val="20"/>
        </w:rPr>
        <w:t>C. Agentic AI Layer: ReAct Reasoning</w:t>
      </w:r>
    </w:p>
    <w:p>
      <w:pPr>
        <w:ind w:firstLine="283"/>
        <w:jc w:val="both"/>
      </w:pPr>
      <w:r>
        <w:rPr>
          <w:rFonts w:ascii="Times New Roman" w:hAnsi="Times New Roman"/>
          <w:sz w:val="20"/>
        </w:rPr>
        <w:t>The Agentic AI implements a four-phase ReAct reasoning loop:</w:t>
      </w:r>
    </w:p>
    <w:p>
      <w:pPr>
        <w:ind w:firstLine="283"/>
        <w:jc w:val="both"/>
      </w:pPr>
      <w:r>
        <w:rPr>
          <w:rFonts w:ascii="Times New Roman" w:hAnsi="Times New Roman"/>
          <w:sz w:val="20"/>
        </w:rPr>
        <w:t>Phase 1 — OBSERVE: The agent receives the current threat data including network risk, user risk, combined risk score, IP address, timestamp, and contextual metadata (business hours, recent attack count, active blocks).</w:t>
      </w:r>
    </w:p>
    <w:p>
      <w:pPr>
        <w:ind w:firstLine="283"/>
        <w:jc w:val="both"/>
      </w:pPr>
      <w:r>
        <w:rPr>
          <w:rFonts w:ascii="Times New Roman" w:hAnsi="Times New Roman"/>
          <w:sz w:val="20"/>
        </w:rPr>
        <w:t>Phase 2 — THINK + ACT: The agent reasons about what additional context is needed and calls up to 3 tools from a whitelist of 8 available tools: check_ip_reputation, get_attack_history, get_similar_threats, get_network_baseline, correlate_recent_events, get_accuracy_stats, get_adaptive_thresholds, and check_ip_external.</w:t>
      </w:r>
    </w:p>
    <w:p>
      <w:pPr>
        <w:ind w:firstLine="283"/>
        <w:jc w:val="both"/>
      </w:pPr>
      <w:r>
        <w:rPr>
          <w:rFonts w:ascii="Times New Roman" w:hAnsi="Times New Roman"/>
          <w:sz w:val="20"/>
        </w:rPr>
        <w:t>Phase 3 — DECIDE: Using all gathered intelligence, the agent produces a structured decision containing: action (LOG/ALERT/RATE_LIMIT/BLOCK), confidence score (0-1), risk level assessment, and natural language reasoning explaining the decision rationale.</w:t>
      </w:r>
    </w:p>
    <w:p>
      <w:pPr>
        <w:ind w:firstLine="283"/>
        <w:jc w:val="both"/>
      </w:pPr>
      <w:r>
        <w:rPr>
          <w:rFonts w:ascii="Times New Roman" w:hAnsi="Times New Roman"/>
          <w:sz w:val="20"/>
        </w:rPr>
        <w:t>Phase 4 — REFLECT + PERSIST: The decision is stored in an SQLite database (decision_store) with full metadata including tools used, reasoning steps taken, and confidence levels. This persistent memory enables adaptive threshold learning and accuracy tracking through a feedback loop where analysts can record outcomes (true_positive, false_positive, missed_attack, benign).</w:t>
      </w:r>
    </w:p>
    <w:p>
      <w:pPr>
        <w:jc w:val="center"/>
      </w:pPr>
      <w:r>
        <w:rPr>
          <w:rFonts w:ascii="Times New Roman" w:hAnsi="Times New Roman"/>
          <w:b/>
          <w:sz w:val="20"/>
        </w:rPr>
        <w:t>IV. IMPLEMENTATION</w:t>
      </w:r>
    </w:p>
    <w:p>
      <w:pPr>
        <w:ind w:firstLine="283"/>
        <w:jc w:val="both"/>
      </w:pPr>
      <w:r>
        <w:rPr>
          <w:rFonts w:ascii="Times New Roman" w:hAnsi="Times New Roman"/>
          <w:sz w:val="20"/>
        </w:rPr>
        <w:t>The system is implemented in Python 3.8+ and deployed on AWS infrastructure in the ap-south-1 (Mumbai) region. Key dependencies include: Boto3 for AWS SDK interaction, Scikit-Learn for Isolation Forest model training and inference, Pandas and NumPy for data processing, and the Ollama Python client for local LLM inference. The LLM model used is Qwen 2.5 (0.5B parameters), selected for its fast inference speed on consumer hardware while maintaining adequate reasoning quality for structured cybersecurity decisions.</w:t>
      </w:r>
    </w:p>
    <w:p>
      <w:pPr>
        <w:ind w:firstLine="283"/>
        <w:jc w:val="both"/>
      </w:pPr>
      <w:r>
        <w:rPr>
          <w:rFonts w:ascii="Times New Roman" w:hAnsi="Times New Roman"/>
          <w:sz w:val="20"/>
        </w:rPr>
        <w:t>The system consists of the following core modules: ids_engine.py (CloudWatch-based network anomaly detection), ueba_engine.py (CloudTrail-based user behavior analysis), autonomous_response_agent.py (graduated response orchestrator with AWS Security Group integration), agentic_threat_agent.py (ReAct reasoning loop with tool-calling), agent_tools.py (8 callable tools for intelligence gathering), decision_store.py (SQLite persistent memory with accuracy tracking), and ollama_agent.py (LLM communication layer with fallback logic).</w:t>
      </w:r>
    </w:p>
    <w:p>
      <w:pPr>
        <w:jc w:val="center"/>
      </w:pPr>
      <w:r>
        <w:rPr>
          <w:rFonts w:ascii="Times New Roman" w:hAnsi="Times New Roman"/>
          <w:b/>
          <w:sz w:val="20"/>
        </w:rPr>
        <w:t>V. EXPERIMENTAL RESULTS</w:t>
      </w:r>
    </w:p>
    <w:p>
      <w:pPr>
        <w:ind w:firstLine="283"/>
        <w:jc w:val="both"/>
      </w:pPr>
      <w:r>
        <w:rPr>
          <w:rFonts w:ascii="Times New Roman" w:hAnsi="Times New Roman"/>
          <w:sz w:val="20"/>
        </w:rPr>
        <w:t>The system was evaluated against four discrete threat scenarios designed to test each response tier. The Agentic AI (Qwen 2.5 via Ollama) was compared against the rule-based baseline system to validate both detection accuracy and AI reasoning quality.</w:t>
      </w:r>
    </w:p>
    <w:tbl>
      <w:tblPr>
        <w:tblW w:type="auto" w:w="0"/>
        <w:jc w:val="center"/>
        <w:tblLook w:firstColumn="1" w:firstRow="1" w:lastColumn="0" w:lastRow="0" w:noHBand="0" w:noVBand="1" w:val="04A0"/>
      </w:tblPr>
      <w:tblGrid>
        <w:gridCol w:w="1709"/>
        <w:gridCol w:w="1709"/>
        <w:gridCol w:w="1709"/>
        <w:gridCol w:w="1709"/>
        <w:gridCol w:w="1709"/>
        <w:gridCol w:w="1709"/>
      </w:tblGrid>
      <w:tr>
        <w:tc>
          <w:tcPr>
            <w:tcW w:type="dxa" w:w="1709"/>
          </w:tcPr>
          <w:p>
            <w:r>
              <w:rPr>
                <w:b/>
                <w:sz w:val="16"/>
              </w:rPr>
              <w:t>Scenario</w:t>
            </w:r>
          </w:p>
        </w:tc>
        <w:tc>
          <w:tcPr>
            <w:tcW w:type="dxa" w:w="1709"/>
          </w:tcPr>
          <w:p>
            <w:r>
              <w:rPr>
                <w:b/>
                <w:sz w:val="16"/>
              </w:rPr>
              <w:t>Net Risk</w:t>
            </w:r>
          </w:p>
        </w:tc>
        <w:tc>
          <w:tcPr>
            <w:tcW w:type="dxa" w:w="1709"/>
          </w:tcPr>
          <w:p>
            <w:r>
              <w:rPr>
                <w:b/>
                <w:sz w:val="16"/>
              </w:rPr>
              <w:t>User Risk</w:t>
            </w:r>
          </w:p>
        </w:tc>
        <w:tc>
          <w:tcPr>
            <w:tcW w:type="dxa" w:w="1709"/>
          </w:tcPr>
          <w:p>
            <w:r>
              <w:rPr>
                <w:b/>
                <w:sz w:val="16"/>
              </w:rPr>
              <w:t>Combined</w:t>
            </w:r>
          </w:p>
        </w:tc>
        <w:tc>
          <w:tcPr>
            <w:tcW w:type="dxa" w:w="1709"/>
          </w:tcPr>
          <w:p>
            <w:r>
              <w:rPr>
                <w:b/>
                <w:sz w:val="16"/>
              </w:rPr>
              <w:t>Expected</w:t>
            </w:r>
          </w:p>
        </w:tc>
        <w:tc>
          <w:tcPr>
            <w:tcW w:type="dxa" w:w="1709"/>
          </w:tcPr>
          <w:p>
            <w:r>
              <w:rPr>
                <w:b/>
                <w:sz w:val="16"/>
              </w:rPr>
              <w:t>AI Output</w:t>
            </w:r>
          </w:p>
        </w:tc>
      </w:tr>
      <w:tr>
        <w:tc>
          <w:tcPr>
            <w:tcW w:type="dxa" w:w="1709"/>
          </w:tcPr>
          <w:p>
            <w:r>
              <w:rPr>
                <w:sz w:val="16"/>
              </w:rPr>
              <w:t>Normal Traffic</w:t>
            </w:r>
          </w:p>
        </w:tc>
        <w:tc>
          <w:tcPr>
            <w:tcW w:type="dxa" w:w="1709"/>
          </w:tcPr>
          <w:p>
            <w:r>
              <w:rPr>
                <w:sz w:val="16"/>
              </w:rPr>
              <w:t>0.05</w:t>
            </w:r>
          </w:p>
        </w:tc>
        <w:tc>
          <w:tcPr>
            <w:tcW w:type="dxa" w:w="1709"/>
          </w:tcPr>
          <w:p>
            <w:r>
              <w:rPr>
                <w:sz w:val="16"/>
              </w:rPr>
              <w:t>0.10</w:t>
            </w:r>
          </w:p>
        </w:tc>
        <w:tc>
          <w:tcPr>
            <w:tcW w:type="dxa" w:w="1709"/>
          </w:tcPr>
          <w:p>
            <w:r>
              <w:rPr>
                <w:sz w:val="16"/>
              </w:rPr>
              <w:t>0.07</w:t>
            </w:r>
          </w:p>
        </w:tc>
        <w:tc>
          <w:tcPr>
            <w:tcW w:type="dxa" w:w="1709"/>
          </w:tcPr>
          <w:p>
            <w:r>
              <w:rPr>
                <w:sz w:val="16"/>
              </w:rPr>
              <w:t>LOG</w:t>
            </w:r>
          </w:p>
        </w:tc>
        <w:tc>
          <w:tcPr>
            <w:tcW w:type="dxa" w:w="1709"/>
          </w:tcPr>
          <w:p>
            <w:r>
              <w:rPr>
                <w:sz w:val="16"/>
              </w:rPr>
              <w:t>LOG ✓</w:t>
            </w:r>
          </w:p>
        </w:tc>
      </w:tr>
      <w:tr>
        <w:tc>
          <w:tcPr>
            <w:tcW w:type="dxa" w:w="1709"/>
          </w:tcPr>
          <w:p>
            <w:r>
              <w:rPr>
                <w:sz w:val="16"/>
              </w:rPr>
              <w:t>Suspicious Activity</w:t>
            </w:r>
          </w:p>
        </w:tc>
        <w:tc>
          <w:tcPr>
            <w:tcW w:type="dxa" w:w="1709"/>
          </w:tcPr>
          <w:p>
            <w:r>
              <w:rPr>
                <w:sz w:val="16"/>
              </w:rPr>
              <w:t>0.50</w:t>
            </w:r>
          </w:p>
        </w:tc>
        <w:tc>
          <w:tcPr>
            <w:tcW w:type="dxa" w:w="1709"/>
          </w:tcPr>
          <w:p>
            <w:r>
              <w:rPr>
                <w:sz w:val="16"/>
              </w:rPr>
              <w:t>0.40</w:t>
            </w:r>
          </w:p>
        </w:tc>
        <w:tc>
          <w:tcPr>
            <w:tcW w:type="dxa" w:w="1709"/>
          </w:tcPr>
          <w:p>
            <w:r>
              <w:rPr>
                <w:sz w:val="16"/>
              </w:rPr>
              <w:t>0.46</w:t>
            </w:r>
          </w:p>
        </w:tc>
        <w:tc>
          <w:tcPr>
            <w:tcW w:type="dxa" w:w="1709"/>
          </w:tcPr>
          <w:p>
            <w:r>
              <w:rPr>
                <w:sz w:val="16"/>
              </w:rPr>
              <w:t>ALERT</w:t>
            </w:r>
          </w:p>
        </w:tc>
        <w:tc>
          <w:tcPr>
            <w:tcW w:type="dxa" w:w="1709"/>
          </w:tcPr>
          <w:p>
            <w:r>
              <w:rPr>
                <w:sz w:val="16"/>
              </w:rPr>
              <w:t>ALERT ✓</w:t>
            </w:r>
          </w:p>
        </w:tc>
      </w:tr>
      <w:tr>
        <w:tc>
          <w:tcPr>
            <w:tcW w:type="dxa" w:w="1709"/>
          </w:tcPr>
          <w:p>
            <w:r>
              <w:rPr>
                <w:sz w:val="16"/>
              </w:rPr>
              <w:t>DDoS Attack</w:t>
            </w:r>
          </w:p>
        </w:tc>
        <w:tc>
          <w:tcPr>
            <w:tcW w:type="dxa" w:w="1709"/>
          </w:tcPr>
          <w:p>
            <w:r>
              <w:rPr>
                <w:sz w:val="16"/>
              </w:rPr>
              <w:t>0.95</w:t>
            </w:r>
          </w:p>
        </w:tc>
        <w:tc>
          <w:tcPr>
            <w:tcW w:type="dxa" w:w="1709"/>
          </w:tcPr>
          <w:p>
            <w:r>
              <w:rPr>
                <w:sz w:val="16"/>
              </w:rPr>
              <w:t>0.10</w:t>
            </w:r>
          </w:p>
        </w:tc>
        <w:tc>
          <w:tcPr>
            <w:tcW w:type="dxa" w:w="1709"/>
          </w:tcPr>
          <w:p>
            <w:r>
              <w:rPr>
                <w:sz w:val="16"/>
              </w:rPr>
              <w:t>0.61</w:t>
            </w:r>
          </w:p>
        </w:tc>
        <w:tc>
          <w:tcPr>
            <w:tcW w:type="dxa" w:w="1709"/>
          </w:tcPr>
          <w:p>
            <w:r>
              <w:rPr>
                <w:sz w:val="16"/>
              </w:rPr>
              <w:t>RATE_LIMIT</w:t>
            </w:r>
          </w:p>
        </w:tc>
        <w:tc>
          <w:tcPr>
            <w:tcW w:type="dxa" w:w="1709"/>
          </w:tcPr>
          <w:p>
            <w:r>
              <w:rPr>
                <w:sz w:val="16"/>
              </w:rPr>
              <w:t>RATE_LIMIT ✓</w:t>
            </w:r>
          </w:p>
        </w:tc>
      </w:tr>
      <w:tr>
        <w:tc>
          <w:tcPr>
            <w:tcW w:type="dxa" w:w="1709"/>
          </w:tcPr>
          <w:p>
            <w:r>
              <w:rPr>
                <w:sz w:val="16"/>
              </w:rPr>
              <w:t>Compromised Account</w:t>
            </w:r>
          </w:p>
        </w:tc>
        <w:tc>
          <w:tcPr>
            <w:tcW w:type="dxa" w:w="1709"/>
          </w:tcPr>
          <w:p>
            <w:r>
              <w:rPr>
                <w:sz w:val="16"/>
              </w:rPr>
              <w:t>0.95</w:t>
            </w:r>
          </w:p>
        </w:tc>
        <w:tc>
          <w:tcPr>
            <w:tcW w:type="dxa" w:w="1709"/>
          </w:tcPr>
          <w:p>
            <w:r>
              <w:rPr>
                <w:sz w:val="16"/>
              </w:rPr>
              <w:t>0.90</w:t>
            </w:r>
          </w:p>
        </w:tc>
        <w:tc>
          <w:tcPr>
            <w:tcW w:type="dxa" w:w="1709"/>
          </w:tcPr>
          <w:p>
            <w:r>
              <w:rPr>
                <w:sz w:val="16"/>
              </w:rPr>
              <w:t>0.93</w:t>
            </w:r>
          </w:p>
        </w:tc>
        <w:tc>
          <w:tcPr>
            <w:tcW w:type="dxa" w:w="1709"/>
          </w:tcPr>
          <w:p>
            <w:r>
              <w:rPr>
                <w:sz w:val="16"/>
              </w:rPr>
              <w:t>BLOCK</w:t>
            </w:r>
          </w:p>
        </w:tc>
        <w:tc>
          <w:tcPr>
            <w:tcW w:type="dxa" w:w="1709"/>
          </w:tcPr>
          <w:p>
            <w:r>
              <w:rPr>
                <w:sz w:val="16"/>
              </w:rPr>
              <w:t>BLOCK ✓</w:t>
            </w:r>
          </w:p>
        </w:tc>
      </w:tr>
    </w:tbl>
    <w:p>
      <w:pPr>
        <w:jc w:val="center"/>
      </w:pPr>
      <w:r>
        <w:rPr>
          <w:i/>
          <w:sz w:val="16"/>
        </w:rPr>
        <w:t>TABLE II. Experimental Results — 4/4 Scenarios Matched (100% Accuracy)</w:t>
      </w:r>
    </w:p>
    <w:p>
      <w:r>
        <w:rPr>
          <w:rFonts w:ascii="Times New Roman" w:hAnsi="Times New Roman"/>
          <w:i/>
          <w:sz w:val="20"/>
        </w:rPr>
        <w:t>A. Baseline vs. Agentic System Performance</w:t>
      </w:r>
    </w:p>
    <w:tbl>
      <w:tblPr>
        <w:tblW w:type="auto" w:w="0"/>
        <w:jc w:val="center"/>
        <w:tblLook w:firstColumn="1" w:firstRow="1" w:lastColumn="0" w:lastRow="0" w:noHBand="0" w:noVBand="1" w:val="04A0"/>
      </w:tblPr>
      <w:tblGrid>
        <w:gridCol w:w="3419"/>
        <w:gridCol w:w="3419"/>
        <w:gridCol w:w="3419"/>
      </w:tblGrid>
      <w:tr>
        <w:tc>
          <w:tcPr>
            <w:tcW w:type="dxa" w:w="3419"/>
          </w:tcPr>
          <w:p>
            <w:r>
              <w:rPr>
                <w:b/>
                <w:sz w:val="16"/>
              </w:rPr>
              <w:t>Metric</w:t>
            </w:r>
          </w:p>
        </w:tc>
        <w:tc>
          <w:tcPr>
            <w:tcW w:type="dxa" w:w="3419"/>
          </w:tcPr>
          <w:p>
            <w:r>
              <w:rPr>
                <w:b/>
                <w:sz w:val="16"/>
              </w:rPr>
              <w:t>Baseline (Rule-Based)</w:t>
            </w:r>
          </w:p>
        </w:tc>
        <w:tc>
          <w:tcPr>
            <w:tcW w:type="dxa" w:w="3419"/>
          </w:tcPr>
          <w:p>
            <w:r>
              <w:rPr>
                <w:b/>
                <w:sz w:val="16"/>
              </w:rPr>
              <w:t>Agentic AI (ReAct)</w:t>
            </w:r>
          </w:p>
        </w:tc>
      </w:tr>
      <w:tr>
        <w:tc>
          <w:tcPr>
            <w:tcW w:type="dxa" w:w="3419"/>
          </w:tcPr>
          <w:p>
            <w:r>
              <w:rPr>
                <w:sz w:val="16"/>
              </w:rPr>
              <w:t>Detection Accuracy</w:t>
            </w:r>
          </w:p>
        </w:tc>
        <w:tc>
          <w:tcPr>
            <w:tcW w:type="dxa" w:w="3419"/>
          </w:tcPr>
          <w:p>
            <w:r>
              <w:rPr>
                <w:sz w:val="16"/>
              </w:rPr>
              <w:t>100%</w:t>
            </w:r>
          </w:p>
        </w:tc>
        <w:tc>
          <w:tcPr>
            <w:tcW w:type="dxa" w:w="3419"/>
          </w:tcPr>
          <w:p>
            <w:r>
              <w:rPr>
                <w:sz w:val="16"/>
              </w:rPr>
              <w:t>100%</w:t>
            </w:r>
          </w:p>
        </w:tc>
      </w:tr>
      <w:tr>
        <w:tc>
          <w:tcPr>
            <w:tcW w:type="dxa" w:w="3419"/>
          </w:tcPr>
          <w:p>
            <w:r>
              <w:rPr>
                <w:sz w:val="16"/>
              </w:rPr>
              <w:t>False Positive Rate</w:t>
            </w:r>
          </w:p>
        </w:tc>
        <w:tc>
          <w:tcPr>
            <w:tcW w:type="dxa" w:w="3419"/>
          </w:tcPr>
          <w:p>
            <w:r>
              <w:rPr>
                <w:sz w:val="16"/>
              </w:rPr>
              <w:t>0%</w:t>
            </w:r>
          </w:p>
        </w:tc>
        <w:tc>
          <w:tcPr>
            <w:tcW w:type="dxa" w:w="3419"/>
          </w:tcPr>
          <w:p>
            <w:r>
              <w:rPr>
                <w:sz w:val="16"/>
              </w:rPr>
              <w:t>0%</w:t>
            </w:r>
          </w:p>
        </w:tc>
      </w:tr>
      <w:tr>
        <w:tc>
          <w:tcPr>
            <w:tcW w:type="dxa" w:w="3419"/>
          </w:tcPr>
          <w:p>
            <w:r>
              <w:rPr>
                <w:sz w:val="16"/>
              </w:rPr>
              <w:t>Explainability</w:t>
            </w:r>
          </w:p>
        </w:tc>
        <w:tc>
          <w:tcPr>
            <w:tcW w:type="dxa" w:w="3419"/>
          </w:tcPr>
          <w:p>
            <w:r>
              <w:rPr>
                <w:sz w:val="16"/>
              </w:rPr>
              <w:t>None</w:t>
            </w:r>
          </w:p>
        </w:tc>
        <w:tc>
          <w:tcPr>
            <w:tcW w:type="dxa" w:w="3419"/>
          </w:tcPr>
          <w:p>
            <w:r>
              <w:rPr>
                <w:sz w:val="16"/>
              </w:rPr>
              <w:t>Natural Language</w:t>
            </w:r>
          </w:p>
        </w:tc>
      </w:tr>
      <w:tr>
        <w:tc>
          <w:tcPr>
            <w:tcW w:type="dxa" w:w="3419"/>
          </w:tcPr>
          <w:p>
            <w:r>
              <w:rPr>
                <w:sz w:val="16"/>
              </w:rPr>
              <w:t>Tool-Calling</w:t>
            </w:r>
          </w:p>
        </w:tc>
        <w:tc>
          <w:tcPr>
            <w:tcW w:type="dxa" w:w="3419"/>
          </w:tcPr>
          <w:p>
            <w:r>
              <w:rPr>
                <w:sz w:val="16"/>
              </w:rPr>
              <w:t>None</w:t>
            </w:r>
          </w:p>
        </w:tc>
        <w:tc>
          <w:tcPr>
            <w:tcW w:type="dxa" w:w="3419"/>
          </w:tcPr>
          <w:p>
            <w:r>
              <w:rPr>
                <w:sz w:val="16"/>
              </w:rPr>
              <w:t>Up to 3 tools/cycle</w:t>
            </w:r>
          </w:p>
        </w:tc>
      </w:tr>
      <w:tr>
        <w:tc>
          <w:tcPr>
            <w:tcW w:type="dxa" w:w="3419"/>
          </w:tcPr>
          <w:p>
            <w:r>
              <w:rPr>
                <w:sz w:val="16"/>
              </w:rPr>
              <w:t>Persistent Memory</w:t>
            </w:r>
          </w:p>
        </w:tc>
        <w:tc>
          <w:tcPr>
            <w:tcW w:type="dxa" w:w="3419"/>
          </w:tcPr>
          <w:p>
            <w:r>
              <w:rPr>
                <w:sz w:val="16"/>
              </w:rPr>
              <w:t>None</w:t>
            </w:r>
          </w:p>
        </w:tc>
        <w:tc>
          <w:tcPr>
            <w:tcW w:type="dxa" w:w="3419"/>
          </w:tcPr>
          <w:p>
            <w:r>
              <w:rPr>
                <w:sz w:val="16"/>
              </w:rPr>
              <w:t>SQLite DB</w:t>
            </w:r>
          </w:p>
        </w:tc>
      </w:tr>
      <w:tr>
        <w:tc>
          <w:tcPr>
            <w:tcW w:type="dxa" w:w="3419"/>
          </w:tcPr>
          <w:p>
            <w:r>
              <w:rPr>
                <w:sz w:val="16"/>
              </w:rPr>
              <w:t>Autonomous Response</w:t>
            </w:r>
          </w:p>
        </w:tc>
        <w:tc>
          <w:tcPr>
            <w:tcW w:type="dxa" w:w="3419"/>
          </w:tcPr>
          <w:p>
            <w:r>
              <w:rPr>
                <w:sz w:val="16"/>
              </w:rPr>
              <w:t>Alert only</w:t>
            </w:r>
          </w:p>
        </w:tc>
        <w:tc>
          <w:tcPr>
            <w:tcW w:type="dxa" w:w="3419"/>
          </w:tcPr>
          <w:p>
            <w:r>
              <w:rPr>
                <w:sz w:val="16"/>
              </w:rPr>
              <w:t>Full graduated response</w:t>
            </w:r>
          </w:p>
        </w:tc>
      </w:tr>
    </w:tbl>
    <w:p>
      <w:pPr>
        <w:jc w:val="center"/>
      </w:pPr>
      <w:r>
        <w:rPr>
          <w:i/>
          <w:sz w:val="16"/>
        </w:rPr>
        <w:t>TABLE III. Baseline vs. Agentic System Comparison</w:t>
      </w:r>
    </w:p>
    <w:p>
      <w:r>
        <w:rPr>
          <w:rFonts w:ascii="Times New Roman" w:hAnsi="Times New Roman"/>
          <w:i/>
          <w:sz w:val="20"/>
        </w:rPr>
        <w:t>B. AI Reasoning Sample Output</w:t>
      </w:r>
    </w:p>
    <w:p>
      <w:pPr>
        <w:ind w:firstLine="283"/>
        <w:jc w:val="both"/>
      </w:pPr>
      <w:r>
        <w:rPr>
          <w:rFonts w:ascii="Times New Roman" w:hAnsi="Times New Roman"/>
          <w:sz w:val="20"/>
        </w:rPr>
        <w:t>For the DDoS attack scenario (Network Risk: 0.95, User Risk: 0.10), the Agentic AI produced the following reasoning trace: "Network risk is extremely high at 0.95 but user behavior is normal at 0.10. Combined risk of 0.61 falls in the HIGH range. This pattern indicates an external volumetric attack like DDoS rather than account compromise, since user activity remains within baseline parameters. Recommending RATE_LIMIT to throttle suspicious traffic while preserving service availability." This demonstrates the system's ability to provide contextual, actionable explanations beyond simple threshold matching.</w:t>
      </w:r>
    </w:p>
    <w:p>
      <w:pPr>
        <w:jc w:val="center"/>
      </w:pPr>
      <w:r>
        <w:rPr>
          <w:rFonts w:ascii="Times New Roman" w:hAnsi="Times New Roman"/>
          <w:b/>
          <w:sz w:val="20"/>
        </w:rPr>
        <w:t>VI. NOVELTY AND CONTRIBUTIONS</w:t>
      </w:r>
    </w:p>
    <w:p>
      <w:pPr>
        <w:ind w:firstLine="283"/>
        <w:jc w:val="both"/>
      </w:pPr>
      <w:r>
        <w:rPr>
          <w:rFonts w:ascii="Times New Roman" w:hAnsi="Times New Roman"/>
          <w:sz w:val="20"/>
        </w:rPr>
        <w:t>1) Cross-Domain Weighted Fusion: No existing work combines Network IDS and User UEBA outputs using a weighted risk fusion formula. Existing hybrid papers fuse multiple ML algorithms [9], processing stages [10], or detection methods [11]. Our 60/40 domain-level fusion provides contextual correlation capabilities none of these approaches offer.</w:t>
      </w:r>
    </w:p>
    <w:p>
      <w:pPr>
        <w:ind w:firstLine="283"/>
        <w:jc w:val="both"/>
      </w:pPr>
      <w:r>
        <w:rPr>
          <w:rFonts w:ascii="Times New Roman" w:hAnsi="Times New Roman"/>
          <w:sz w:val="20"/>
        </w:rPr>
        <w:t>2) End-to-End ReAct Pipeline: Existing ReAct cybersecurity papers [3][4] focus on post-incident response or threat intelligence analysis. Our system implements the complete pipeline from AWS data ingestion through dual Isolation Forest detection, 60/40 fusion, ReAct AI reasoning with tool-calling, to autonomous AWS Security Group response.</w:t>
      </w:r>
    </w:p>
    <w:p>
      <w:pPr>
        <w:ind w:firstLine="283"/>
        <w:jc w:val="both"/>
      </w:pPr>
      <w:r>
        <w:rPr>
          <w:rFonts w:ascii="Times New Roman" w:hAnsi="Times New Roman"/>
          <w:sz w:val="20"/>
        </w:rPr>
        <w:t>3) Zero-Cost Privacy-Preserving AI: All surveyed LLM cybersecurity papers [3][4] rely on cloud-hosted models incurring API costs and requiring external data transmission. Our system uses local Ollama inference (Qwen 2.5) with zero cost and complete data privacy.</w:t>
      </w:r>
    </w:p>
    <w:p>
      <w:pPr>
        <w:ind w:firstLine="283"/>
        <w:jc w:val="both"/>
      </w:pPr>
      <w:r>
        <w:rPr>
          <w:rFonts w:ascii="Times New Roman" w:hAnsi="Times New Roman"/>
          <w:sz w:val="20"/>
        </w:rPr>
        <w:t>4) Hybrid Mathematical + AI Architecture: No surveyed paper layers AI explainability on top of a mathematical detection backbone with automatic fallback. Our system provides both mathematical guarantees (fusion algorithm) and interpretability (natural language).</w:t>
      </w:r>
    </w:p>
    <w:p>
      <w:pPr>
        <w:ind w:firstLine="283"/>
        <w:jc w:val="both"/>
      </w:pPr>
      <w:r>
        <w:rPr>
          <w:rFonts w:ascii="Times New Roman" w:hAnsi="Times New Roman"/>
          <w:sz w:val="20"/>
        </w:rPr>
        <w:t>5) Natural Language Explainability: The dominant XAI approach uses post-hoc SHAP/LIME analysis [13]. Our system generates explanations during the decision process as part of the ReAct reasoning trace, more accessible to non-technical stakeholders.</w:t>
      </w:r>
    </w:p>
    <w:p>
      <w:pPr>
        <w:jc w:val="center"/>
      </w:pPr>
      <w:r>
        <w:rPr>
          <w:rFonts w:ascii="Times New Roman" w:hAnsi="Times New Roman"/>
          <w:b/>
          <w:sz w:val="20"/>
        </w:rPr>
        <w:t>VII. CONCLUSION AND FUTURE WORK</w:t>
      </w:r>
    </w:p>
    <w:p>
      <w:pPr>
        <w:ind w:firstLine="283"/>
        <w:jc w:val="both"/>
      </w:pPr>
      <w:r>
        <w:rPr>
          <w:rFonts w:ascii="Times New Roman" w:hAnsi="Times New Roman"/>
          <w:sz w:val="20"/>
        </w:rPr>
        <w:t>This paper presented a Cloud-Native Hybrid Threat Detection System that unifies network anomaly detection and user behavior analytics through a 60/40 weighted fusion algorithm, augmented by an Agentic AI implementing the ReAct reasoning paradigm. Experimental results demonstrate 100% detection accuracy with 0% false positives across four threat scenarios, with the AI providing actionable natural language explanations and autonomous graduated response — all at zero operational cost through local LLM inference.</w:t>
      </w:r>
    </w:p>
    <w:p>
      <w:pPr>
        <w:ind w:firstLine="283"/>
        <w:jc w:val="both"/>
      </w:pPr>
      <w:r>
        <w:rPr>
          <w:rFonts w:ascii="Times New Roman" w:hAnsi="Times New Roman"/>
          <w:sz w:val="20"/>
        </w:rPr>
        <w:t>Future work includes: (1) validation against diverse real-world traffic patterns including Black Friday-scale legitimate spikes; (2) multi-region monitoring support for enterprise-grade deployment; (3) online learning pipelines for continuous model retraining; (4) Docker containerization for portable deployment; and (5) integration with federated learning frameworks for multi-organization threat intelligence sharing while preserving data privacy.</w:t>
      </w:r>
    </w:p>
    <w:p>
      <w:pPr>
        <w:jc w:val="center"/>
      </w:pPr>
      <w:r>
        <w:rPr>
          <w:rFonts w:ascii="Times New Roman" w:hAnsi="Times New Roman"/>
          <w:b/>
          <w:sz w:val="20"/>
        </w:rPr>
        <w:t>ACKNOWLEDGMENT</w:t>
      </w:r>
    </w:p>
    <w:p>
      <w:pPr>
        <w:ind w:firstLine="283"/>
        <w:jc w:val="both"/>
      </w:pPr>
      <w:r>
        <w:rPr>
          <w:rFonts w:ascii="Times New Roman" w:hAnsi="Times New Roman"/>
          <w:sz w:val="20"/>
        </w:rPr>
        <w:t>The authors thank the Department of Computer Science &amp; Engineering at Dayananda Sagar College of Engineering for their guidance and support throughout this project.</w:t>
      </w:r>
    </w:p>
    <w:p>
      <w:pPr>
        <w:jc w:val="center"/>
      </w:pPr>
      <w:r>
        <w:rPr>
          <w:rFonts w:ascii="Times New Roman" w:hAnsi="Times New Roman"/>
          <w:b/>
          <w:sz w:val="20"/>
        </w:rPr>
        <w:t>REFERENCES</w:t>
      </w:r>
    </w:p>
    <w:p>
      <w:pPr>
        <w:spacing w:after="40"/>
      </w:pPr>
      <w:r>
        <w:rPr>
          <w:rFonts w:ascii="Times New Roman" w:hAnsi="Times New Roman"/>
          <w:sz w:val="16"/>
        </w:rPr>
        <w:t>[1]  X. Lin, G. Avina, and J. Santoyo, "Reducing False Alerts in Cybersecurity Threat Detection Using Generative AI," in 4th Workshop on AI-Enabled Cybersecurity Analytics (KDD-affiliated), 2025.</w:t>
      </w:r>
    </w:p>
    <w:p>
      <w:pPr>
        <w:spacing w:after="40"/>
      </w:pPr>
      <w:r>
        <w:rPr>
          <w:rFonts w:ascii="Times New Roman" w:hAnsi="Times New Roman"/>
          <w:sz w:val="16"/>
        </w:rPr>
        <w:t>[2]  S. Yao, J. Zhao, D. Yu, N. Du, I. Shafran, K. Narasimhan, and Y. Cao, "ReAct: Synergizing Reasoning and Acting in Language Models," in Proc. ICLR, 2023.</w:t>
      </w:r>
    </w:p>
    <w:p>
      <w:pPr>
        <w:spacing w:after="40"/>
      </w:pPr>
      <w:r>
        <w:rPr>
          <w:rFonts w:ascii="Times New Roman" w:hAnsi="Times New Roman"/>
          <w:sz w:val="16"/>
        </w:rPr>
        <w:t>[3]  S. Baral, S. Saha, and A. Haque, "Autonomous Cyber Incident Response Using Reasoning and Action," in IEEE IWCMC, 2025.</w:t>
      </w:r>
    </w:p>
    <w:p>
      <w:pPr>
        <w:spacing w:after="40"/>
      </w:pPr>
      <w:r>
        <w:rPr>
          <w:rFonts w:ascii="Times New Roman" w:hAnsi="Times New Roman"/>
          <w:sz w:val="16"/>
        </w:rPr>
        <w:t>[4]  S. Verma, "AI-Driven Autonomous Incident Response: Revolutionizing Cybersecurity Operations with Real-Time Threat Mitigation," Int. J. Communication Networks and Information Security, 2025.</w:t>
      </w:r>
    </w:p>
    <w:p>
      <w:pPr>
        <w:spacing w:after="40"/>
      </w:pPr>
      <w:r>
        <w:rPr>
          <w:rFonts w:ascii="Times New Roman" w:hAnsi="Times New Roman"/>
          <w:sz w:val="16"/>
        </w:rPr>
        <w:t>[5]  F. T. Liu, K. M. Ting, and Z.-H. Zhou, "Isolation Forest," in Proc. IEEE ICDM, pp. 413–422, 2008.</w:t>
      </w:r>
    </w:p>
    <w:p>
      <w:pPr>
        <w:spacing w:after="40"/>
      </w:pPr>
      <w:r>
        <w:rPr>
          <w:rFonts w:ascii="Times New Roman" w:hAnsi="Times New Roman"/>
          <w:sz w:val="16"/>
        </w:rPr>
        <w:t>[6]  S. Zehra, H. J. Syed, F. Samad, and U. Faseeha, "DeSFAM: An Adaptive eBPF and AI-Driven Framework for Securing Cloud Containers in Real Time," IEEE Access, vol. 13, pp. 139203–139224, 2025.</w:t>
      </w:r>
    </w:p>
    <w:p>
      <w:pPr>
        <w:spacing w:after="40"/>
      </w:pPr>
      <w:r>
        <w:rPr>
          <w:rFonts w:ascii="Times New Roman" w:hAnsi="Times New Roman"/>
          <w:sz w:val="16"/>
        </w:rPr>
        <w:t>[7]  C. Djidjev, "siForest: Detecting Network Anomalies with Set-Structured Isolation Forest," arXiv preprint, Dec. 2025.</w:t>
      </w:r>
    </w:p>
    <w:p>
      <w:pPr>
        <w:spacing w:after="40"/>
      </w:pPr>
      <w:r>
        <w:rPr>
          <w:rFonts w:ascii="Times New Roman" w:hAnsi="Times New Roman"/>
          <w:sz w:val="16"/>
        </w:rPr>
        <w:t>[8]  (Multiple Authors), "IF-DLDD: Isolation Forest with Dynamic Concept Drift Detection," IEEE Conf. Proc., 2025.</w:t>
      </w:r>
    </w:p>
    <w:p>
      <w:pPr>
        <w:spacing w:after="40"/>
      </w:pPr>
      <w:r>
        <w:rPr>
          <w:rFonts w:ascii="Times New Roman" w:hAnsi="Times New Roman"/>
          <w:sz w:val="16"/>
        </w:rPr>
        <w:t>[9]  (Multiple Authors), "Hybrid AI-Based IDS with Ensemble Learning for Cloud Environments," IJIRSET, 2025.</w:t>
      </w:r>
    </w:p>
    <w:p>
      <w:pPr>
        <w:spacing w:after="40"/>
      </w:pPr>
      <w:r>
        <w:rPr>
          <w:rFonts w:ascii="Times New Roman" w:hAnsi="Times New Roman"/>
          <w:sz w:val="16"/>
        </w:rPr>
        <w:t>[10] (Multiple Authors), "Two-Stream Hybrid Models for Network Anomaly Detection," Lviv Polytechnic Conf. Proc., 2025.</w:t>
      </w:r>
    </w:p>
    <w:p>
      <w:pPr>
        <w:spacing w:after="40"/>
      </w:pPr>
      <w:r>
        <w:rPr>
          <w:rFonts w:ascii="Times New Roman" w:hAnsi="Times New Roman"/>
          <w:sz w:val="16"/>
        </w:rPr>
        <w:t>[11] (Multiple Authors), "Adaptive IDS Combining Isolation Forest and Suricata for Zero-Day and Known Threat Detection," UNSOED Conf. Proc., 2025.</w:t>
      </w:r>
    </w:p>
    <w:p>
      <w:pPr>
        <w:spacing w:after="40"/>
      </w:pPr>
      <w:r>
        <w:rPr>
          <w:rFonts w:ascii="Times New Roman" w:hAnsi="Times New Roman"/>
          <w:sz w:val="16"/>
        </w:rPr>
        <w:t>[12] I. Nakash, G. Kour, G. Uziel, and A. Anaby-Tavor, "Breaking ReAct Agents: Foot-in-the-Door Attack Will Get You In," in Findings of ACL: NAACL, 2025. IBM Research AI.</w:t>
      </w:r>
    </w:p>
    <w:p>
      <w:pPr>
        <w:spacing w:after="40"/>
      </w:pPr>
      <w:r>
        <w:rPr>
          <w:rFonts w:ascii="Times New Roman" w:hAnsi="Times New Roman"/>
          <w:sz w:val="16"/>
        </w:rPr>
        <w:t>[13] (Multiple Authors), "SHAP-Enhanced Isolation Forest for Explainable Network Intrusion Detection," Eksplorium Journal, 2025.</w:t>
      </w:r>
    </w:p>
    <w:p>
      <w:pPr>
        <w:spacing w:after="40"/>
      </w:pPr>
      <w:r>
        <w:rPr>
          <w:rFonts w:ascii="Times New Roman" w:hAnsi="Times New Roman"/>
          <w:sz w:val="16"/>
        </w:rPr>
        <w:t>[14] (Multiple Authors), "AI-Augmented SOC: Next-Generation Security Operations," MDPI Survey, 2025–2026.</w:t>
      </w:r>
    </w:p>
    <w:sectPr w:rsidR="00FC693F" w:rsidRPr="0006063C" w:rsidSect="00034616">
      <w:pgSz w:w="12240" w:h="15840"/>
      <w:pgMar w:top="1077" w:right="992" w:bottom="144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