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0EE4B" w14:textId="77777777" w:rsidR="00D33B64" w:rsidRDefault="00000000">
      <w:pPr>
        <w:spacing w:after="120" w:line="240" w:lineRule="auto"/>
        <w:jc w:val="center"/>
      </w:pPr>
      <w:r>
        <w:rPr>
          <w:b/>
          <w:sz w:val="40"/>
        </w:rPr>
        <w:t>Cloud-Native Hybrid Threat Detection System with Agentic AI Autonomous Response</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3419"/>
        <w:gridCol w:w="3419"/>
        <w:gridCol w:w="3419"/>
      </w:tblGrid>
      <w:tr w:rsidR="00D33B64" w14:paraId="2395CDE2" w14:textId="77777777">
        <w:trPr>
          <w:jc w:val="center"/>
        </w:trPr>
        <w:tc>
          <w:tcPr>
            <w:tcW w:w="3419" w:type="dxa"/>
          </w:tcPr>
          <w:p w14:paraId="190A3BA6" w14:textId="77777777" w:rsidR="00DE724F" w:rsidRDefault="00000000">
            <w:pPr>
              <w:spacing w:after="0" w:line="240" w:lineRule="auto"/>
              <w:jc w:val="center"/>
              <w:rPr>
                <w:sz w:val="18"/>
              </w:rPr>
            </w:pPr>
            <w:r>
              <w:rPr>
                <w:b/>
              </w:rPr>
              <w:t>Aarit Haldar</w:t>
            </w:r>
            <w:r>
              <w:rPr>
                <w:b/>
              </w:rPr>
              <w:br/>
            </w:r>
            <w:r>
              <w:rPr>
                <w:sz w:val="18"/>
              </w:rPr>
              <w:t>Dept. of Computer Science and Engineering</w:t>
            </w:r>
            <w:r>
              <w:rPr>
                <w:sz w:val="18"/>
              </w:rPr>
              <w:br/>
              <w:t xml:space="preserve">Dayananda Sagar </w:t>
            </w:r>
            <w:r w:rsidR="00DE724F">
              <w:rPr>
                <w:sz w:val="18"/>
              </w:rPr>
              <w:t>University</w:t>
            </w:r>
          </w:p>
          <w:p w14:paraId="0B22AF7B" w14:textId="4A32C707" w:rsidR="00D33B64" w:rsidRDefault="00000000">
            <w:pPr>
              <w:spacing w:after="0" w:line="240" w:lineRule="auto"/>
              <w:jc w:val="center"/>
            </w:pPr>
            <w:r>
              <w:rPr>
                <w:sz w:val="18"/>
              </w:rPr>
              <w:t>Bengaluru, India</w:t>
            </w:r>
            <w:r>
              <w:rPr>
                <w:sz w:val="18"/>
              </w:rPr>
              <w:br/>
              <w:t>ENG24CY0073</w:t>
            </w:r>
          </w:p>
        </w:tc>
        <w:tc>
          <w:tcPr>
            <w:tcW w:w="3419" w:type="dxa"/>
          </w:tcPr>
          <w:p w14:paraId="4CB2BB74" w14:textId="7449D765" w:rsidR="00D33B64" w:rsidRDefault="00000000">
            <w:pPr>
              <w:spacing w:after="0" w:line="240" w:lineRule="auto"/>
              <w:jc w:val="center"/>
            </w:pPr>
            <w:r>
              <w:rPr>
                <w:b/>
              </w:rPr>
              <w:t>Priyanshu Sithole</w:t>
            </w:r>
            <w:r>
              <w:rPr>
                <w:b/>
              </w:rPr>
              <w:br/>
            </w:r>
            <w:r>
              <w:rPr>
                <w:sz w:val="18"/>
              </w:rPr>
              <w:t>Dept. of Computer Science and Engineering</w:t>
            </w:r>
            <w:r>
              <w:rPr>
                <w:sz w:val="18"/>
              </w:rPr>
              <w:br/>
              <w:t xml:space="preserve">Dayananda Sagar </w:t>
            </w:r>
            <w:r w:rsidR="00DE724F">
              <w:rPr>
                <w:sz w:val="18"/>
              </w:rPr>
              <w:t xml:space="preserve">university </w:t>
            </w:r>
            <w:r>
              <w:rPr>
                <w:sz w:val="18"/>
              </w:rPr>
              <w:br/>
              <w:t>Bengaluru, India</w:t>
            </w:r>
            <w:r>
              <w:rPr>
                <w:sz w:val="18"/>
              </w:rPr>
              <w:br/>
              <w:t>ENG24CY0189</w:t>
            </w:r>
          </w:p>
        </w:tc>
        <w:tc>
          <w:tcPr>
            <w:tcW w:w="3419" w:type="dxa"/>
          </w:tcPr>
          <w:p w14:paraId="7FCE2CB3" w14:textId="41861CCC" w:rsidR="00D33B64" w:rsidRDefault="00000000">
            <w:pPr>
              <w:spacing w:after="0" w:line="240" w:lineRule="auto"/>
              <w:jc w:val="center"/>
            </w:pPr>
            <w:r>
              <w:rPr>
                <w:b/>
              </w:rPr>
              <w:t>Jay Bhagat</w:t>
            </w:r>
            <w:r>
              <w:rPr>
                <w:b/>
              </w:rPr>
              <w:br/>
            </w:r>
            <w:r>
              <w:rPr>
                <w:sz w:val="18"/>
              </w:rPr>
              <w:t>Dept. of Computer Science and Engineering</w:t>
            </w:r>
            <w:r>
              <w:rPr>
                <w:sz w:val="18"/>
              </w:rPr>
              <w:br/>
              <w:t xml:space="preserve">Dayananda Sagar </w:t>
            </w:r>
            <w:r w:rsidR="00DE724F">
              <w:rPr>
                <w:sz w:val="18"/>
              </w:rPr>
              <w:t>university</w:t>
            </w:r>
            <w:r>
              <w:rPr>
                <w:sz w:val="18"/>
              </w:rPr>
              <w:br/>
              <w:t>Bengaluru, India</w:t>
            </w:r>
            <w:r>
              <w:rPr>
                <w:sz w:val="18"/>
              </w:rPr>
              <w:br/>
              <w:t>ENG24CY0089</w:t>
            </w:r>
          </w:p>
        </w:tc>
      </w:tr>
    </w:tbl>
    <w:p w14:paraId="45081E82" w14:textId="77777777" w:rsidR="00D33B64" w:rsidRDefault="00D33B64"/>
    <w:p w14:paraId="63873F09" w14:textId="77777777" w:rsidR="00D33B64" w:rsidRDefault="00000000">
      <w:pPr>
        <w:spacing w:after="40" w:line="240" w:lineRule="auto"/>
        <w:jc w:val="both"/>
      </w:pPr>
      <w:r>
        <w:rPr>
          <w:b/>
          <w:i/>
          <w:sz w:val="18"/>
        </w:rPr>
        <w:t xml:space="preserve">Abstract- </w:t>
      </w:r>
      <w:r>
        <w:rPr>
          <w:i/>
          <w:sz w:val="18"/>
        </w:rPr>
        <w:t>This paper presents an end-to-end cloud-native hybrid threat detection architecture that combines network intrusion indicators and user behavior anomalies through weighted risk fusion, then augments the result with an agentic reasoning layer for explainable and autonomous response. The detection stack is designed for high-signal decision quality under operational pressure, where noisy telemetry and fast attack progression can overwhelm manual workflows. By integrating IDS and UEBA views into a single score, the approach improves contextual awareness and reduces one-dimensional false alarms. The agentic layer implements structured Observe-Think-Act-Decide loops with guarded tool usage, persistent memory, and action-level justifications to support analyst trust and incident governance. Experimental scenarios demonstrate consistent behavior across normal traffic, suspicious activity, volumetric attacks, and compromised-account conditions, while preserving privacy by keeping model inference local.</w:t>
      </w:r>
    </w:p>
    <w:p w14:paraId="568A25FE" w14:textId="77777777" w:rsidR="00D33B64" w:rsidRDefault="00000000">
      <w:pPr>
        <w:spacing w:after="80" w:line="240" w:lineRule="auto"/>
        <w:jc w:val="both"/>
      </w:pPr>
      <w:r>
        <w:rPr>
          <w:b/>
          <w:i/>
          <w:sz w:val="18"/>
        </w:rPr>
        <w:t xml:space="preserve">Keywords- </w:t>
      </w:r>
      <w:r>
        <w:rPr>
          <w:i/>
          <w:sz w:val="18"/>
        </w:rPr>
        <w:t>intrusion detection, user and entity behavior analytics, isolation forest, risk fusion, agentic AI, ReAct reasoning, cloud security, autonomous response</w:t>
      </w:r>
    </w:p>
    <w:p w14:paraId="0CE0666E" w14:textId="77777777" w:rsidR="00D33B64" w:rsidRDefault="00D33B64">
      <w:pPr>
        <w:sectPr w:rsidR="00D33B64">
          <w:pgSz w:w="12240" w:h="15840"/>
          <w:pgMar w:top="1077" w:right="992" w:bottom="1440" w:left="992" w:header="720" w:footer="720" w:gutter="0"/>
          <w:cols w:space="300"/>
          <w:docGrid w:linePitch="360"/>
        </w:sectPr>
      </w:pPr>
    </w:p>
    <w:p w14:paraId="17C645AE" w14:textId="77777777" w:rsidR="00D33B64" w:rsidRDefault="00000000">
      <w:pPr>
        <w:spacing w:before="80" w:after="40" w:line="240" w:lineRule="auto"/>
        <w:jc w:val="center"/>
      </w:pPr>
      <w:r>
        <w:rPr>
          <w:b/>
        </w:rPr>
        <w:t>I. INTRODUCTION</w:t>
      </w:r>
    </w:p>
    <w:p w14:paraId="2C6BF523" w14:textId="77777777" w:rsidR="00D33B64" w:rsidRDefault="00000000">
      <w:pPr>
        <w:spacing w:after="40" w:line="240" w:lineRule="auto"/>
        <w:ind w:firstLine="198"/>
        <w:jc w:val="both"/>
      </w:pPr>
      <w:r>
        <w:t>Enterprise cloud environments now operate with extremely dense control planes, dynamic workloads, and continuously changing identity boundaries. In that context, threat detection cannot rely on a single telemetry stream without accepting either delayed response or high false-positive volume. Classical network anomaly detectors are good at identifying sudden volumetric deviations, but they struggle to explain whether an event is malicious or simply a benign seasonal surge. Conversely, behavior-based systems can model user intent drift, yet they often miss fast infrastructure abuse that unfolds before role-level context can stabilize. This paper addresses that gap through a unified architecture that fuses both perspectives before action is taken.</w:t>
      </w:r>
    </w:p>
    <w:p w14:paraId="44A7F9C9" w14:textId="77777777" w:rsidR="00D33B64" w:rsidRDefault="00000000">
      <w:pPr>
        <w:spacing w:after="40" w:line="240" w:lineRule="auto"/>
        <w:ind w:firstLine="198"/>
        <w:jc w:val="both"/>
      </w:pPr>
      <w:r>
        <w:t>The core principle of this work is contextual consistency: a threat signal should gain or lose confidence depending on corroborating evidence from orthogonal domains. A network spike with normal user behavior can imply scanning, automation drift, or transient load, while the same spike paired with anomalous role usage materially increases compromise likelihood. Instead of forcing analysts to manually correlate these dimensions under time pressure, the system computes a weighted fused score and then passes that score into an explainable decision loop. The result is a workflow that is not only faster but also easier to audit because each decision is linked to concrete evidence states.</w:t>
      </w:r>
    </w:p>
    <w:p w14:paraId="7B266517" w14:textId="77777777" w:rsidR="00D33B64" w:rsidRDefault="00000000">
      <w:pPr>
        <w:spacing w:after="40" w:line="240" w:lineRule="auto"/>
        <w:ind w:firstLine="198"/>
        <w:jc w:val="both"/>
      </w:pPr>
      <w:r>
        <w:t>A second design objective is operational trust. In many SOC environments, teams hesitate to adopt autonomous controls because mitigation actions can impact availability, cost, and customer-facing reliability. To resolve that concern, the architecture implements graduated responses, from passive logging to active blocking, and binds each response to confidence-aware thresholds and reversible controls. The agentic component contributes natural-language explanations, tool-driven evidence expansion, and persistent decision memory. These features transform automation from a black-</w:t>
      </w:r>
      <w:r>
        <w:t>box trigger into a transparent collaborator that supports analyst judgement rather than bypassing it.</w:t>
      </w:r>
    </w:p>
    <w:p w14:paraId="0B0111BA" w14:textId="77777777" w:rsidR="00D33B64" w:rsidRDefault="00000000">
      <w:pPr>
        <w:spacing w:before="80" w:after="40" w:line="240" w:lineRule="auto"/>
        <w:jc w:val="center"/>
      </w:pPr>
      <w:r>
        <w:rPr>
          <w:b/>
        </w:rPr>
        <w:t>II. RELATED WORK AND POSITIONING</w:t>
      </w:r>
    </w:p>
    <w:p w14:paraId="4311D57A" w14:textId="77777777" w:rsidR="00D33B64" w:rsidRDefault="00000000">
      <w:pPr>
        <w:spacing w:after="40" w:line="240" w:lineRule="auto"/>
        <w:ind w:firstLine="198"/>
        <w:jc w:val="both"/>
      </w:pPr>
      <w:r>
        <w:t>Research on anomaly detection in cybersecurity has repeatedly shown the practical value of Isolation Forest and similar unsupervised methods for high-dimensional telemetry. Their main advantage is the ability to flag outliers without requiring complete labeled datasets, which are rarely available for evolving threats. However, most deployments treat anomaly scoring as an endpoint rather than a decision input. In production operations, this creates friction because analysts still need to answer tactical questions: is the anomaly dangerous, how urgent is mitigation, and what business service might be affected. A detection score alone does not provide those answers.</w:t>
      </w:r>
    </w:p>
    <w:p w14:paraId="1E37790C" w14:textId="77777777" w:rsidR="00D33B64" w:rsidRDefault="00000000">
      <w:pPr>
        <w:spacing w:after="40" w:line="240" w:lineRule="auto"/>
        <w:ind w:firstLine="198"/>
        <w:jc w:val="both"/>
      </w:pPr>
      <w:r>
        <w:t>Hybrid IDS approaches improved this limitation by combining statistical filters with deep models or signature engines. These pipelines increase coverage but often remain modality-specific: they optimize network detection quality without deeply modeling user intent transitions, or they focus on behavioral drift without validating the infrastructure blast radius. More recent security copilots add conversational interfaces, yet many are post-hoc explainers layered after a deterministic rule engine. In contrast, this project integrates reasoning during the decision lifecycle itself. The AI agent is not merely summarizing a result; it actively selects evidence tools and justifies response selection before action execution.</w:t>
      </w:r>
    </w:p>
    <w:p w14:paraId="512B7F06" w14:textId="77777777" w:rsidR="00D33B64" w:rsidRDefault="00000000">
      <w:pPr>
        <w:spacing w:after="40" w:line="240" w:lineRule="auto"/>
        <w:ind w:firstLine="198"/>
        <w:jc w:val="both"/>
      </w:pPr>
      <w:r>
        <w:t xml:space="preserve">The system also differs in deployment stance. Several published agentic incident-response prototypes assume external hosted LLM services, which can introduce cost unpredictability and data governance concerns. Our implementation uses local model inference via Ollama so that sensitive telemetry and response rationale remain inside the operational boundary. This does not eliminate all risk, but it significantly improves privacy posture and makes continuous experimentation affordable for academic and small-team SOC </w:t>
      </w:r>
      <w:r>
        <w:lastRenderedPageBreak/>
        <w:t>contexts. The combination of local inference, weighted cross-domain fusion, and policy-constrained autonomous action defines the practical novelty of this work.</w:t>
      </w:r>
    </w:p>
    <w:p w14:paraId="0CB4F5D4" w14:textId="77777777" w:rsidR="00D33B64" w:rsidRDefault="00000000">
      <w:pPr>
        <w:spacing w:before="80" w:after="40" w:line="240" w:lineRule="auto"/>
        <w:jc w:val="center"/>
      </w:pPr>
      <w:r>
        <w:rPr>
          <w:b/>
        </w:rPr>
        <w:t>III. SYSTEM ARCHITECTURE</w:t>
      </w:r>
    </w:p>
    <w:p w14:paraId="15478808" w14:textId="77777777" w:rsidR="00D33B64" w:rsidRDefault="00000000">
      <w:pPr>
        <w:spacing w:after="40" w:line="240" w:lineRule="auto"/>
        <w:ind w:firstLine="198"/>
        <w:jc w:val="both"/>
      </w:pPr>
      <w:r>
        <w:t>The architecture is organized into four cooperating layers. Layer one ingests telemetry from cloud and host-adjacent sources, including network throughput, packet-level derivatives, and CloudTrail-style identity events. Layer two performs parallel scoring using dedicated IDS and UEBA models, each tuned for its own signal geometry. Layer three computes fused risk with policy-aware thresholding and passes structured context into an agentic reasoning service. Layer four executes graduated actions and records all evidence, decisions, and outcomes into persistent storage for later review, retraining, and governance reporting.</w:t>
      </w:r>
    </w:p>
    <w:p w14:paraId="743A4F5A" w14:textId="77777777" w:rsidR="00D33B64" w:rsidRDefault="00000000">
      <w:pPr>
        <w:spacing w:after="40" w:line="240" w:lineRule="auto"/>
        <w:ind w:firstLine="198"/>
        <w:jc w:val="both"/>
      </w:pPr>
      <w:r>
        <w:t>The data contract between layers is explicit and intentionally narrow. Instead of passing raw logs to every component, the pipeline transmits normalized risk features and curated metadata such as source identity, destination criticality tier, change-window flags, and recent incident density. This reduces accidental coupling and improves maintainability because each engine can evolve independently as long as it preserves the same contract. The separation also supports safer rollback strategies: if one model version underperforms, operators can revert that module without destabilizing the entire response chain.</w:t>
      </w:r>
    </w:p>
    <w:p w14:paraId="7C033597" w14:textId="77777777" w:rsidR="00D33B64" w:rsidRDefault="00000000">
      <w:pPr>
        <w:spacing w:after="40" w:line="240" w:lineRule="auto"/>
        <w:ind w:firstLine="198"/>
        <w:jc w:val="both"/>
      </w:pPr>
      <w:r>
        <w:t>Two architectural decisions are particularly important for production resilience. First, every action path supports deterministic fallback logic so that the system remains functional if the agentic layer is unavailable. Second, the response engine is idempotent and time-bounded, preventing repeated or stale mitigation commands from producing compounding operational side effects. Together, these controls ensure that autonomy adds value without introducing brittle dependencies. The design therefore treats AI reasoning as a high-leverage augmentation layer, not a single point of operational failure.</w:t>
      </w:r>
    </w:p>
    <w:p w14:paraId="222BD27A" w14:textId="77777777" w:rsidR="00D33B64" w:rsidRDefault="00000000">
      <w:pPr>
        <w:spacing w:before="80" w:after="40" w:line="240" w:lineRule="auto"/>
        <w:jc w:val="center"/>
      </w:pPr>
      <w:r>
        <w:rPr>
          <w:b/>
        </w:rPr>
        <w:t>IV. DATA PIPELINE AND FEATURE ENGINEERING</w:t>
      </w:r>
    </w:p>
    <w:p w14:paraId="0636461A" w14:textId="77777777" w:rsidR="00D33B64" w:rsidRDefault="00000000">
      <w:pPr>
        <w:spacing w:after="40" w:line="240" w:lineRule="auto"/>
        <w:ind w:firstLine="198"/>
        <w:jc w:val="both"/>
      </w:pPr>
      <w:r>
        <w:t>High-quality threat decisions depend on feature quality more than model novelty. The pipeline therefore applies disciplined normalization and context enrichment before scoring. Network metrics are windowed into fixed intervals and transformed into rate, variance, and burst descriptors that better reflect attack shape than raw counters. User-behavior records are transformed into sequence-aware indicators, such as unusual API pair transitions, role-switch cadence, privilege spread, and service novelty. Feature namespaces are kept stable across runs to support reproducible evaluation and safe model versioning.</w:t>
      </w:r>
    </w:p>
    <w:p w14:paraId="6B2BF443" w14:textId="77777777" w:rsidR="00D33B64" w:rsidRDefault="00000000">
      <w:pPr>
        <w:spacing w:after="40" w:line="240" w:lineRule="auto"/>
        <w:ind w:firstLine="198"/>
        <w:jc w:val="both"/>
      </w:pPr>
      <w:r>
        <w:t xml:space="preserve">Context is added through lightweight joins against environment metadata: service criticality tiers, maintenance windows, known automation identities, and historical incident clusters. This context allows the same raw signal to be interpreted differently across workloads. For example, elevated write volume in a backup account has different implications than elevated write volume in a production </w:t>
      </w:r>
      <w:r>
        <w:t>billing account. The fusion engine therefore receives both anomaly strength and business sensitivity, enabling decisions that reflect operational risk rather than purely statistical rarity.</w:t>
      </w:r>
    </w:p>
    <w:p w14:paraId="10469D9D" w14:textId="77777777" w:rsidR="00D33B64" w:rsidRDefault="00000000">
      <w:pPr>
        <w:spacing w:after="40" w:line="240" w:lineRule="auto"/>
        <w:ind w:firstLine="198"/>
        <w:jc w:val="both"/>
      </w:pPr>
      <w:r>
        <w:t>To reduce noise, the pipeline includes quality gates that reject malformed records, cap impossible values, and mark sparse windows with reliability tags. These reliability tags feed into confidence scoring so that low-quality telemetry cannot silently dominate response actions. This is critical in cloud environments where transient API failures, delayed log delivery, and intermittent metric gaps are normal. By explicitly modeling data quality, the system avoids brittle behavior and provides analysts with clearer expectations about confidence boundaries in each decision cycle.</w:t>
      </w:r>
    </w:p>
    <w:p w14:paraId="0019397A" w14:textId="77777777" w:rsidR="00D33B64" w:rsidRDefault="00000000">
      <w:pPr>
        <w:spacing w:before="80" w:after="40" w:line="240" w:lineRule="auto"/>
        <w:jc w:val="center"/>
      </w:pPr>
      <w:r>
        <w:rPr>
          <w:b/>
        </w:rPr>
        <w:t>V. DETECTION MODELS AND RISK FUSION</w:t>
      </w:r>
    </w:p>
    <w:p w14:paraId="62BE9B97" w14:textId="77777777" w:rsidR="00D33B64" w:rsidRDefault="00000000">
      <w:pPr>
        <w:spacing w:after="40" w:line="240" w:lineRule="auto"/>
        <w:ind w:firstLine="198"/>
        <w:jc w:val="both"/>
      </w:pPr>
      <w:r>
        <w:t>The IDS and UEBA engines each output normalized scores in the range from zero to one. The fused score is computed as a weighted combination that prioritizes infrastructure-side urgency while retaining user-context moderation. In the current configuration, network risk receives weight 0.6 and user risk receives weight 0.4. This balance emerged from empirical iteration on controlled scenarios where over-weighting user behavior delayed external attack mitigation, while over-weighting network metrics increased false alarms during legitimate traffic surges.</w:t>
      </w:r>
    </w:p>
    <w:p w14:paraId="4563D862" w14:textId="77777777" w:rsidR="00D33B64" w:rsidRDefault="00000000">
      <w:pPr>
        <w:spacing w:after="40" w:line="240" w:lineRule="auto"/>
        <w:ind w:firstLine="198"/>
        <w:jc w:val="both"/>
      </w:pPr>
      <w:r>
        <w:t>Fused risk alone is not used as a blunt trigger. It is interpreted through tiered policy boundaries linked to response classes: LOG, ALERT, RATE_LIMIT, and BLOCK. Each tier has explicit preconditions, timeout behavior, and rollback rules. For example, rate limiting can be time-scoped with recovery probes, while blocking requires stronger corroboration and mandatory evidence capture. This policy coupling ensures that response severity scales with evidence quality and potential blast radius. Analysts can adjust thresholds without modifying model code, enabling faster governance iteration.</w:t>
      </w:r>
    </w:p>
    <w:p w14:paraId="2270F7A1" w14:textId="77777777" w:rsidR="00D33B64" w:rsidRDefault="00000000">
      <w:pPr>
        <w:spacing w:after="40" w:line="240" w:lineRule="auto"/>
        <w:ind w:firstLine="198"/>
        <w:jc w:val="both"/>
      </w:pPr>
      <w:r>
        <w:t>The fusion layer also publishes explanatory primitives, including dominant contributing signals, threshold deltas, and confidence penalties from data-quality flags. These primitives are consumed by the agentic layer to produce human-readable rationale grounded in measurable evidence. As a result, explanations are not fabricated narratives; they are structured transformations of real model outputs and policy context. This improves trust because operators can trace every major sentence in the explanation back to concrete score components and observed telemetry facts.</w:t>
      </w:r>
    </w:p>
    <w:p w14:paraId="62D88EAA" w14:textId="77777777" w:rsidR="00D33B64" w:rsidRDefault="00000000">
      <w:pPr>
        <w:spacing w:before="80" w:after="40" w:line="240" w:lineRule="auto"/>
        <w:jc w:val="center"/>
      </w:pPr>
      <w:r>
        <w:rPr>
          <w:b/>
        </w:rPr>
        <w:t>VI. AGENTIC REASONING LAYER</w:t>
      </w:r>
    </w:p>
    <w:p w14:paraId="28E5EBEC" w14:textId="77777777" w:rsidR="00D33B64" w:rsidRDefault="00000000">
      <w:pPr>
        <w:spacing w:after="40" w:line="240" w:lineRule="auto"/>
        <w:ind w:firstLine="198"/>
        <w:jc w:val="both"/>
      </w:pPr>
      <w:r>
        <w:t>The agent implements a constrained Observe-Think-Act-Decide loop. During Observe, it receives fused risk, component risks, source identity, confidence metadata, and environment context. During Think, it decides whether additional evidence is needed and selects from a whitelisted set of tools, such as IP reputation checks, attack-history lookups, baseline drift analysis, and recent incident correlation. During Act-Decide, it maps evidence to one of the approved response classes and generates a concise rationale suitable for both analysts and incident records.</w:t>
      </w:r>
    </w:p>
    <w:p w14:paraId="1798803F" w14:textId="77777777" w:rsidR="00D33B64" w:rsidRDefault="00000000">
      <w:pPr>
        <w:spacing w:after="40" w:line="240" w:lineRule="auto"/>
        <w:ind w:firstLine="198"/>
        <w:jc w:val="both"/>
      </w:pPr>
      <w:r>
        <w:lastRenderedPageBreak/>
        <w:t>Tool usage is intentionally bounded. Unrestricted tool calls can increase latency and create noisy or contradictory evidence chains. The agent therefore has a maximum tool budget per cycle and deterministic fallbacks when tools are unavailable. Every call is logged with purpose, response payload summary, and impact on confidence. This creates an interpretable reasoning trace that can be replayed during post-incident review. Importantly, if model confidence is low or evidence is conflicting, the policy can force conservative actions and escalate human review rather than allowing aggressive automation.</w:t>
      </w:r>
    </w:p>
    <w:p w14:paraId="507CBD9D" w14:textId="77777777" w:rsidR="00D33B64" w:rsidRDefault="00000000">
      <w:pPr>
        <w:spacing w:after="40" w:line="240" w:lineRule="auto"/>
        <w:ind w:firstLine="198"/>
        <w:jc w:val="both"/>
      </w:pPr>
      <w:r>
        <w:t>Persistent memory is maintained in a decision store that records context vectors, selected actions, observed outcomes, and analyst feedback labels such as true positive, false positive, benign, or missed attack. This memory enables longitudinal learning: threshold tuning, false-positive suppression, and playbook refinement can be guided by real operational outcomes instead of one-time benchmark results. In effect, the agentic layer becomes progressively more aligned with local environment behavior while preserving explicit governance controls around what it is allowed to do autonomously.</w:t>
      </w:r>
    </w:p>
    <w:p w14:paraId="5C8309DF" w14:textId="77777777" w:rsidR="00D33B64" w:rsidRDefault="00000000">
      <w:pPr>
        <w:spacing w:before="80" w:after="40" w:line="240" w:lineRule="auto"/>
        <w:jc w:val="center"/>
      </w:pPr>
      <w:r>
        <w:rPr>
          <w:b/>
        </w:rPr>
        <w:t>VII. IMPLEMENTATION AND DEPLOYMENT</w:t>
      </w:r>
    </w:p>
    <w:p w14:paraId="2A1EA80C" w14:textId="77777777" w:rsidR="00D33B64" w:rsidRDefault="00000000">
      <w:pPr>
        <w:spacing w:after="40" w:line="240" w:lineRule="auto"/>
        <w:ind w:firstLine="198"/>
        <w:jc w:val="both"/>
      </w:pPr>
      <w:r>
        <w:t>The implementation is built in Python with modular components for ingestion, detection, fusion, reasoning, response, and dashboard presentation. Isolation Forest models are trained and served through scikit-learn pipelines, while cloud data interactions use AWS SDK integrations. The local reasoning model is served through Ollama, and inter-module communication uses typed dictionaries to keep dependencies lightweight and transparent. A thin web dashboard reads state snapshots and displays current risk trajectories, recent actions, and system health for operational awareness.</w:t>
      </w:r>
    </w:p>
    <w:p w14:paraId="7521ADBF" w14:textId="77777777" w:rsidR="00D33B64" w:rsidRDefault="00000000">
      <w:pPr>
        <w:spacing w:after="40" w:line="240" w:lineRule="auto"/>
        <w:ind w:firstLine="198"/>
        <w:jc w:val="both"/>
      </w:pPr>
      <w:r>
        <w:t>Deployment favors simplicity and reproducibility. Configuration files define environment variables, alert recipients, threshold values, and integration toggles, allowing controlled changes without code edits. The runtime can operate in detection-only mode, assisted-response mode, or autonomous-response mode depending on governance maturity. This progressive adoption model helps teams move from observation to automation safely. For demo and educational settings, the same architecture can be run locally with simulated data while preserving the exact control flow used in cloud-connected operation.</w:t>
      </w:r>
    </w:p>
    <w:p w14:paraId="28136CFA" w14:textId="77777777" w:rsidR="00D33B64" w:rsidRDefault="00000000">
      <w:pPr>
        <w:spacing w:after="40" w:line="240" w:lineRule="auto"/>
        <w:ind w:firstLine="198"/>
        <w:jc w:val="both"/>
      </w:pPr>
      <w:r>
        <w:t>Operational hardening includes timeout guards, retry policies for external tool calls, and explicit exception handling around response actions. If any subsystem fails, the orchestration layer records the failure mode and continues with the safest available fallback path. Logs are structured for machine parsing and human triage, and important transitions are mirrored into persistent JSON state for dashboard continuity. These engineering details are essential because detection quality alone does not deliver value unless the platform remains stable during the very incidents it is designed to handle.</w:t>
      </w:r>
    </w:p>
    <w:p w14:paraId="0C487E94" w14:textId="77777777" w:rsidR="00D33B64" w:rsidRDefault="00000000">
      <w:pPr>
        <w:spacing w:before="80" w:after="40" w:line="240" w:lineRule="auto"/>
        <w:jc w:val="center"/>
      </w:pPr>
      <w:r>
        <w:rPr>
          <w:b/>
        </w:rPr>
        <w:t>VIII. EXPERIMENTAL EVALUATION</w:t>
      </w:r>
    </w:p>
    <w:p w14:paraId="542C9961" w14:textId="77777777" w:rsidR="00D33B64" w:rsidRDefault="00000000">
      <w:pPr>
        <w:spacing w:after="40" w:line="240" w:lineRule="auto"/>
        <w:ind w:firstLine="198"/>
        <w:jc w:val="both"/>
      </w:pPr>
      <w:r>
        <w:t>Evaluation used scenario-driven testing that mirrors common SOC conditions: normal baseline activity, suspicious but non-critical deviations, volumetric attack behavior, and compromised-account behavior. Each scenario was executed with deterministic seeds where possible, and outputs were compared against expected response tiers. The primary goal was not only classification correctness but policy correctness, meaning the selected action had to match both threat severity and operational safety expectations. This distinction matters because technically correct detection with operationally unsafe action still constitutes system failure in practice.</w:t>
      </w:r>
    </w:p>
    <w:p w14:paraId="4E04FF1F" w14:textId="77777777" w:rsidR="00D33B64" w:rsidRDefault="00000000">
      <w:pPr>
        <w:spacing w:after="40" w:line="240" w:lineRule="auto"/>
        <w:ind w:firstLine="198"/>
        <w:jc w:val="both"/>
      </w:pPr>
      <w:r>
        <w:t>The fused architecture showed stronger contextual consistency than single-stream detection in scenarios where one modality alone was ambiguous. For example, high network volatility with stable user behavior was treated as high but not immediately critical risk, enabling controlled throttling rather than premature full blocking. Conversely, when both network and behavior signals were elevated, the system escalated quickly to protective controls. The agentic explanation layer improved triage speed in manual review by summarizing evidence pathways and highlighting why an action was chosen at that moment.</w:t>
      </w:r>
    </w:p>
    <w:p w14:paraId="30BC1CC8" w14:textId="77777777" w:rsidR="00D33B64" w:rsidRDefault="00000000">
      <w:pPr>
        <w:spacing w:after="40" w:line="240" w:lineRule="auto"/>
        <w:ind w:firstLine="198"/>
        <w:jc w:val="both"/>
      </w:pPr>
      <w:r>
        <w:t>Ablation-style checks further demonstrated that removing memory feedback increased repeated false-positive patterns, while disabling tool calls reduced explanation quality and confidence calibration under edge cases. These findings suggest that the project value comes from orchestration synergy rather than any single component. The models, fusion policy, and reasoning controls each contribute distinct resilience properties. Therefore, future optimization should focus on joint tuning and lifecycle governance, not isolated metric maximization on one module.</w:t>
      </w:r>
    </w:p>
    <w:p w14:paraId="3BA8FA4D" w14:textId="77777777" w:rsidR="00D33B64" w:rsidRDefault="00000000">
      <w:pPr>
        <w:spacing w:before="80" w:after="40" w:line="240" w:lineRule="auto"/>
        <w:jc w:val="center"/>
      </w:pPr>
      <w:r>
        <w:rPr>
          <w:b/>
        </w:rPr>
        <w:t>IX. GOVERNANCE, PRIVACY, AND SAFETY</w:t>
      </w:r>
    </w:p>
    <w:p w14:paraId="5C97270D" w14:textId="77777777" w:rsidR="00D33B64" w:rsidRDefault="00000000">
      <w:pPr>
        <w:spacing w:after="40" w:line="240" w:lineRule="auto"/>
        <w:ind w:firstLine="198"/>
        <w:jc w:val="both"/>
      </w:pPr>
      <w:r>
        <w:t>Autonomous cybersecurity systems must satisfy technical performance and governance accountability simultaneously. This project enforces policy-bounded autonomy so that action classes, confidence thresholds, and escalation paths are explicit and reviewable. Every autonomous decision stores both machine evidence and natural-language rationale, enabling compliance teams to audit behavior without reconstructing opaque model states. This approach supports defensible operations where response actions can be justified to internal stakeholders and external reviewers.</w:t>
      </w:r>
    </w:p>
    <w:p w14:paraId="2DC1F7B7" w14:textId="77777777" w:rsidR="00D33B64" w:rsidRDefault="00000000">
      <w:pPr>
        <w:spacing w:after="40" w:line="240" w:lineRule="auto"/>
        <w:ind w:firstLine="198"/>
        <w:jc w:val="both"/>
      </w:pPr>
      <w:r>
        <w:t>Privacy posture is strengthened through local inference and minimized data propagation across components. Sensitive telemetry remains within controlled boundaries, and only derived risk features are exchanged between modules unless deeper investigation is required. This reduces leakage risk and simplifies data residency discussions for institutional deployment. At the same time, privacy controls are balanced with incident utility by preserving sufficient forensic artifacts to support root-cause analysis, legal review, and post-incident process improvement.</w:t>
      </w:r>
    </w:p>
    <w:p w14:paraId="0548E0BB" w14:textId="77777777" w:rsidR="00D33B64" w:rsidRDefault="00000000">
      <w:pPr>
        <w:spacing w:after="40" w:line="240" w:lineRule="auto"/>
        <w:ind w:firstLine="198"/>
        <w:jc w:val="both"/>
      </w:pPr>
      <w:r>
        <w:t xml:space="preserve">Safety controls include reversible mitigations, action cooldown windows, and explicit human override channels. </w:t>
      </w:r>
      <w:r>
        <w:lastRenderedPageBreak/>
        <w:t>These guardrails prevent automation from entering unstable feedback loops under noisy conditions. They also help teams build trust incrementally, because operators can validate that autonomous behavior is predictable and bounded before enabling stronger actions in production. In short, governance is treated as a first-class engineering concern, not an afterthought layered on top of model outputs.</w:t>
      </w:r>
    </w:p>
    <w:p w14:paraId="57E210B7" w14:textId="77777777" w:rsidR="00D33B64" w:rsidRDefault="00000000">
      <w:pPr>
        <w:spacing w:before="80" w:after="40" w:line="240" w:lineRule="auto"/>
        <w:jc w:val="center"/>
      </w:pPr>
      <w:r>
        <w:rPr>
          <w:b/>
        </w:rPr>
        <w:t>X. LIMITATIONS AND FUTURE DIRECTIONS</w:t>
      </w:r>
    </w:p>
    <w:p w14:paraId="16A831D2" w14:textId="77777777" w:rsidR="00D33B64" w:rsidRDefault="00000000">
      <w:pPr>
        <w:spacing w:after="40" w:line="240" w:lineRule="auto"/>
        <w:ind w:firstLine="198"/>
        <w:jc w:val="both"/>
      </w:pPr>
      <w:r>
        <w:t>Despite strong scenario performance, the current system has limitations. Controlled datasets cannot fully replicate the temporal complexity and adversarial adaptation seen in long-running production environments. Thresholds tuned on one environment may drift when workload patterns change, and model assumptions may degrade under new traffic compositions. The architecture addresses some of this through memory feedback and confidence penalties, but robust generalization still requires continuous validation and periodic retraining under carefully versioned procedures.</w:t>
      </w:r>
    </w:p>
    <w:p w14:paraId="4D8C09FF" w14:textId="77777777" w:rsidR="00D33B64" w:rsidRDefault="00000000">
      <w:pPr>
        <w:spacing w:after="40" w:line="240" w:lineRule="auto"/>
        <w:ind w:firstLine="198"/>
        <w:jc w:val="both"/>
      </w:pPr>
      <w:r>
        <w:t>Future work should prioritize three dimensions. First, multi-region correlation can improve campaign-level visibility and reduce fragmented decisions in distributed cloud estates. Second, richer causal attribution can strengthen explainability by linking indicators to likely attack objectives rather than only anomaly magnitude. Third, semi-supervised feedback pipelines could accelerate adaptation by learning from analyst-confirmed outcomes without requiring full labeled datasets. These directions would further align autonomous response speed with operational confidence and governance quality.</w:t>
      </w:r>
    </w:p>
    <w:p w14:paraId="10686B22" w14:textId="77777777" w:rsidR="00D33B64" w:rsidRDefault="00000000">
      <w:pPr>
        <w:spacing w:before="80" w:after="40" w:line="240" w:lineRule="auto"/>
        <w:jc w:val="center"/>
      </w:pPr>
      <w:r>
        <w:rPr>
          <w:b/>
        </w:rPr>
        <w:t>XI. CONCLUSION</w:t>
      </w:r>
    </w:p>
    <w:p w14:paraId="10E2B59F" w14:textId="77777777" w:rsidR="00D33B64" w:rsidRDefault="00000000">
      <w:pPr>
        <w:spacing w:after="40" w:line="240" w:lineRule="auto"/>
        <w:ind w:firstLine="198"/>
        <w:jc w:val="both"/>
      </w:pPr>
      <w:r>
        <w:t>This report presented a practical hybrid threat detection framework that combines IDS and UEBA scoring, policy-aware fusion, and constrained agentic reasoning into a single operational pipeline. The system is designed to improve decision quality, reduce analyst burden, and support explainable autonomous response with clear governance boundaries. Implementation and evaluation results indicate that cross-domain correlation and structured reasoning can materially improve operational usefulness compared to single-stream detection alone.</w:t>
      </w:r>
    </w:p>
    <w:p w14:paraId="645E4610" w14:textId="77777777" w:rsidR="00D33B64" w:rsidRDefault="00000000">
      <w:pPr>
        <w:spacing w:after="40" w:line="240" w:lineRule="auto"/>
        <w:ind w:firstLine="198"/>
        <w:jc w:val="both"/>
      </w:pPr>
      <w:r>
        <w:t>The broader contribution is methodological: cybersecurity automation works best when statistical detection, decision policy, and human trust mechanisms are co-designed rather than assembled independently. By making each decision traceable and each action bounded, the architecture provides a realistic path from monitoring-centric operations to responsible autonomy in cloud security environments.</w:t>
      </w:r>
    </w:p>
    <w:p w14:paraId="0FB2C196" w14:textId="77777777" w:rsidR="00D33B64" w:rsidRDefault="00000000">
      <w:pPr>
        <w:spacing w:before="40" w:after="20" w:line="240" w:lineRule="auto"/>
      </w:pPr>
      <w:r>
        <w:rPr>
          <w:i/>
        </w:rPr>
        <w:t>A. Weighted Fusion Equation and Policy Mapping</w:t>
      </w:r>
    </w:p>
    <w:p w14:paraId="57B94EF0" w14:textId="77777777" w:rsidR="00D33B64" w:rsidRDefault="00000000">
      <w:pPr>
        <w:spacing w:after="40" w:line="240" w:lineRule="auto"/>
        <w:jc w:val="center"/>
      </w:pPr>
      <w:r>
        <w:rPr>
          <w:i/>
          <w:sz w:val="18"/>
        </w:rPr>
        <w:t>R_final = 0.6 x R_network + 0.4 x R_user   (1)</w:t>
      </w:r>
    </w:p>
    <w:tbl>
      <w:tblPr>
        <w:tblStyle w:val="TableGrid"/>
        <w:tblW w:w="0" w:type="auto"/>
        <w:jc w:val="center"/>
        <w:tblLook w:val="04A0" w:firstRow="1" w:lastRow="0" w:firstColumn="1" w:lastColumn="0" w:noHBand="0" w:noVBand="1"/>
      </w:tblPr>
      <w:tblGrid>
        <w:gridCol w:w="1588"/>
        <w:gridCol w:w="1630"/>
        <w:gridCol w:w="1976"/>
      </w:tblGrid>
      <w:tr w:rsidR="00D33B64" w14:paraId="4616A177" w14:textId="77777777">
        <w:trPr>
          <w:jc w:val="center"/>
        </w:trPr>
        <w:tc>
          <w:tcPr>
            <w:tcW w:w="3419" w:type="dxa"/>
          </w:tcPr>
          <w:p w14:paraId="7B1636E8" w14:textId="77777777" w:rsidR="00D33B64" w:rsidRDefault="00000000">
            <w:pPr>
              <w:jc w:val="center"/>
            </w:pPr>
            <w:r>
              <w:rPr>
                <w:b/>
                <w:sz w:val="16"/>
              </w:rPr>
              <w:t>Risk</w:t>
            </w:r>
          </w:p>
        </w:tc>
        <w:tc>
          <w:tcPr>
            <w:tcW w:w="3419" w:type="dxa"/>
          </w:tcPr>
          <w:p w14:paraId="1E456DCD" w14:textId="77777777" w:rsidR="00D33B64" w:rsidRDefault="00000000">
            <w:pPr>
              <w:jc w:val="center"/>
            </w:pPr>
            <w:r>
              <w:rPr>
                <w:b/>
                <w:sz w:val="16"/>
              </w:rPr>
              <w:t>Level</w:t>
            </w:r>
          </w:p>
        </w:tc>
        <w:tc>
          <w:tcPr>
            <w:tcW w:w="3419" w:type="dxa"/>
          </w:tcPr>
          <w:p w14:paraId="68920D57" w14:textId="77777777" w:rsidR="00D33B64" w:rsidRDefault="00000000">
            <w:pPr>
              <w:jc w:val="center"/>
            </w:pPr>
            <w:r>
              <w:rPr>
                <w:b/>
                <w:sz w:val="16"/>
              </w:rPr>
              <w:t>Action</w:t>
            </w:r>
          </w:p>
        </w:tc>
      </w:tr>
      <w:tr w:rsidR="00D33B64" w14:paraId="2514437E" w14:textId="77777777">
        <w:trPr>
          <w:jc w:val="center"/>
        </w:trPr>
        <w:tc>
          <w:tcPr>
            <w:tcW w:w="3419" w:type="dxa"/>
          </w:tcPr>
          <w:p w14:paraId="6D3D2A6B" w14:textId="77777777" w:rsidR="00D33B64" w:rsidRDefault="00000000">
            <w:pPr>
              <w:jc w:val="center"/>
            </w:pPr>
            <w:r>
              <w:rPr>
                <w:sz w:val="16"/>
              </w:rPr>
              <w:t>&lt; 0.40</w:t>
            </w:r>
          </w:p>
        </w:tc>
        <w:tc>
          <w:tcPr>
            <w:tcW w:w="3419" w:type="dxa"/>
          </w:tcPr>
          <w:p w14:paraId="5E91430E" w14:textId="77777777" w:rsidR="00D33B64" w:rsidRDefault="00000000">
            <w:pPr>
              <w:jc w:val="center"/>
            </w:pPr>
            <w:r>
              <w:rPr>
                <w:sz w:val="16"/>
              </w:rPr>
              <w:t>LOW</w:t>
            </w:r>
          </w:p>
        </w:tc>
        <w:tc>
          <w:tcPr>
            <w:tcW w:w="3419" w:type="dxa"/>
          </w:tcPr>
          <w:p w14:paraId="05C6576A" w14:textId="77777777" w:rsidR="00D33B64" w:rsidRDefault="00000000">
            <w:pPr>
              <w:jc w:val="center"/>
            </w:pPr>
            <w:r>
              <w:rPr>
                <w:sz w:val="16"/>
              </w:rPr>
              <w:t>LOG</w:t>
            </w:r>
          </w:p>
        </w:tc>
      </w:tr>
      <w:tr w:rsidR="00D33B64" w14:paraId="28357C93" w14:textId="77777777">
        <w:trPr>
          <w:jc w:val="center"/>
        </w:trPr>
        <w:tc>
          <w:tcPr>
            <w:tcW w:w="3419" w:type="dxa"/>
          </w:tcPr>
          <w:p w14:paraId="156E0547" w14:textId="77777777" w:rsidR="00D33B64" w:rsidRDefault="00000000">
            <w:pPr>
              <w:jc w:val="center"/>
            </w:pPr>
            <w:r>
              <w:rPr>
                <w:sz w:val="16"/>
              </w:rPr>
              <w:t>0.40-0.60</w:t>
            </w:r>
          </w:p>
        </w:tc>
        <w:tc>
          <w:tcPr>
            <w:tcW w:w="3419" w:type="dxa"/>
          </w:tcPr>
          <w:p w14:paraId="38CD39BA" w14:textId="77777777" w:rsidR="00D33B64" w:rsidRDefault="00000000">
            <w:pPr>
              <w:jc w:val="center"/>
            </w:pPr>
            <w:r>
              <w:rPr>
                <w:sz w:val="16"/>
              </w:rPr>
              <w:t>MED</w:t>
            </w:r>
          </w:p>
        </w:tc>
        <w:tc>
          <w:tcPr>
            <w:tcW w:w="3419" w:type="dxa"/>
          </w:tcPr>
          <w:p w14:paraId="342C729B" w14:textId="77777777" w:rsidR="00D33B64" w:rsidRDefault="00000000">
            <w:pPr>
              <w:jc w:val="center"/>
            </w:pPr>
            <w:r>
              <w:rPr>
                <w:sz w:val="16"/>
              </w:rPr>
              <w:t>ALERT</w:t>
            </w:r>
          </w:p>
        </w:tc>
      </w:tr>
      <w:tr w:rsidR="00D33B64" w14:paraId="564FEAF9" w14:textId="77777777">
        <w:trPr>
          <w:jc w:val="center"/>
        </w:trPr>
        <w:tc>
          <w:tcPr>
            <w:tcW w:w="3419" w:type="dxa"/>
          </w:tcPr>
          <w:p w14:paraId="26F8EC32" w14:textId="77777777" w:rsidR="00D33B64" w:rsidRDefault="00000000">
            <w:pPr>
              <w:jc w:val="center"/>
            </w:pPr>
            <w:r>
              <w:rPr>
                <w:sz w:val="16"/>
              </w:rPr>
              <w:t>0.60-0.80</w:t>
            </w:r>
          </w:p>
        </w:tc>
        <w:tc>
          <w:tcPr>
            <w:tcW w:w="3419" w:type="dxa"/>
          </w:tcPr>
          <w:p w14:paraId="3689F702" w14:textId="77777777" w:rsidR="00D33B64" w:rsidRDefault="00000000">
            <w:pPr>
              <w:jc w:val="center"/>
            </w:pPr>
            <w:r>
              <w:rPr>
                <w:sz w:val="16"/>
              </w:rPr>
              <w:t>HIGH</w:t>
            </w:r>
          </w:p>
        </w:tc>
        <w:tc>
          <w:tcPr>
            <w:tcW w:w="3419" w:type="dxa"/>
          </w:tcPr>
          <w:p w14:paraId="65D5CE15" w14:textId="77777777" w:rsidR="00D33B64" w:rsidRDefault="00000000">
            <w:pPr>
              <w:jc w:val="center"/>
            </w:pPr>
            <w:r>
              <w:rPr>
                <w:sz w:val="16"/>
              </w:rPr>
              <w:t>RATE_LIMIT</w:t>
            </w:r>
          </w:p>
        </w:tc>
      </w:tr>
      <w:tr w:rsidR="00D33B64" w14:paraId="4FB65091" w14:textId="77777777">
        <w:trPr>
          <w:jc w:val="center"/>
        </w:trPr>
        <w:tc>
          <w:tcPr>
            <w:tcW w:w="3419" w:type="dxa"/>
          </w:tcPr>
          <w:p w14:paraId="52F62926" w14:textId="77777777" w:rsidR="00D33B64" w:rsidRDefault="00000000">
            <w:pPr>
              <w:jc w:val="center"/>
            </w:pPr>
            <w:r>
              <w:rPr>
                <w:sz w:val="16"/>
              </w:rPr>
              <w:t>&gt;= 0.80</w:t>
            </w:r>
          </w:p>
        </w:tc>
        <w:tc>
          <w:tcPr>
            <w:tcW w:w="3419" w:type="dxa"/>
          </w:tcPr>
          <w:p w14:paraId="489576B6" w14:textId="77777777" w:rsidR="00D33B64" w:rsidRDefault="00000000">
            <w:pPr>
              <w:jc w:val="center"/>
            </w:pPr>
            <w:r>
              <w:rPr>
                <w:sz w:val="16"/>
              </w:rPr>
              <w:t>CRIT</w:t>
            </w:r>
          </w:p>
        </w:tc>
        <w:tc>
          <w:tcPr>
            <w:tcW w:w="3419" w:type="dxa"/>
          </w:tcPr>
          <w:p w14:paraId="28F81124" w14:textId="77777777" w:rsidR="00D33B64" w:rsidRDefault="00000000">
            <w:pPr>
              <w:jc w:val="center"/>
            </w:pPr>
            <w:r>
              <w:rPr>
                <w:sz w:val="16"/>
              </w:rPr>
              <w:t>BLOCK</w:t>
            </w:r>
          </w:p>
        </w:tc>
      </w:tr>
    </w:tbl>
    <w:p w14:paraId="203DB740" w14:textId="77777777" w:rsidR="00D33B64" w:rsidRDefault="00000000">
      <w:pPr>
        <w:spacing w:after="40" w:line="240" w:lineRule="auto"/>
        <w:jc w:val="center"/>
      </w:pPr>
      <w:r>
        <w:rPr>
          <w:i/>
          <w:sz w:val="16"/>
        </w:rPr>
        <w:t>TABLE I. Graduated response thresholds</w:t>
      </w:r>
    </w:p>
    <w:p w14:paraId="7AABCD4A" w14:textId="77777777" w:rsidR="00D33B64" w:rsidRDefault="00000000">
      <w:pPr>
        <w:spacing w:before="40" w:after="20" w:line="240" w:lineRule="auto"/>
      </w:pPr>
      <w:r>
        <w:rPr>
          <w:i/>
        </w:rPr>
        <w:t>B. Scenario Outcomes</w:t>
      </w:r>
    </w:p>
    <w:tbl>
      <w:tblPr>
        <w:tblStyle w:val="TableGrid"/>
        <w:tblW w:w="0" w:type="auto"/>
        <w:jc w:val="center"/>
        <w:tblLook w:val="04A0" w:firstRow="1" w:lastRow="0" w:firstColumn="1" w:lastColumn="0" w:noHBand="0" w:noVBand="1"/>
      </w:tblPr>
      <w:tblGrid>
        <w:gridCol w:w="1447"/>
        <w:gridCol w:w="1212"/>
        <w:gridCol w:w="1060"/>
        <w:gridCol w:w="1475"/>
      </w:tblGrid>
      <w:tr w:rsidR="00D33B64" w14:paraId="45A75007" w14:textId="77777777">
        <w:trPr>
          <w:jc w:val="center"/>
        </w:trPr>
        <w:tc>
          <w:tcPr>
            <w:tcW w:w="2564" w:type="dxa"/>
          </w:tcPr>
          <w:p w14:paraId="2BEF952F" w14:textId="77777777" w:rsidR="00D33B64" w:rsidRDefault="00000000">
            <w:pPr>
              <w:jc w:val="center"/>
            </w:pPr>
            <w:r>
              <w:rPr>
                <w:b/>
                <w:sz w:val="16"/>
              </w:rPr>
              <w:t>Scenario</w:t>
            </w:r>
          </w:p>
        </w:tc>
        <w:tc>
          <w:tcPr>
            <w:tcW w:w="2564" w:type="dxa"/>
          </w:tcPr>
          <w:p w14:paraId="213AE4F2" w14:textId="77777777" w:rsidR="00D33B64" w:rsidRDefault="00000000">
            <w:pPr>
              <w:jc w:val="center"/>
            </w:pPr>
            <w:r>
              <w:rPr>
                <w:b/>
                <w:sz w:val="16"/>
              </w:rPr>
              <w:t>Risk (N/U)</w:t>
            </w:r>
          </w:p>
        </w:tc>
        <w:tc>
          <w:tcPr>
            <w:tcW w:w="2564" w:type="dxa"/>
          </w:tcPr>
          <w:p w14:paraId="6B6DEC95" w14:textId="77777777" w:rsidR="00D33B64" w:rsidRDefault="00000000">
            <w:pPr>
              <w:jc w:val="center"/>
            </w:pPr>
            <w:r>
              <w:rPr>
                <w:b/>
                <w:sz w:val="16"/>
              </w:rPr>
              <w:t>Fused</w:t>
            </w:r>
          </w:p>
        </w:tc>
        <w:tc>
          <w:tcPr>
            <w:tcW w:w="2564" w:type="dxa"/>
          </w:tcPr>
          <w:p w14:paraId="7319F3B5" w14:textId="77777777" w:rsidR="00D33B64" w:rsidRDefault="00000000">
            <w:pPr>
              <w:jc w:val="center"/>
            </w:pPr>
            <w:r>
              <w:rPr>
                <w:b/>
                <w:sz w:val="16"/>
              </w:rPr>
              <w:t>Output</w:t>
            </w:r>
          </w:p>
        </w:tc>
      </w:tr>
      <w:tr w:rsidR="00D33B64" w14:paraId="74DD0FD1" w14:textId="77777777">
        <w:trPr>
          <w:jc w:val="center"/>
        </w:trPr>
        <w:tc>
          <w:tcPr>
            <w:tcW w:w="2564" w:type="dxa"/>
          </w:tcPr>
          <w:p w14:paraId="3EB5FE53" w14:textId="77777777" w:rsidR="00D33B64" w:rsidRDefault="00000000">
            <w:pPr>
              <w:jc w:val="center"/>
            </w:pPr>
            <w:r>
              <w:rPr>
                <w:sz w:val="16"/>
              </w:rPr>
              <w:t>Normal</w:t>
            </w:r>
          </w:p>
        </w:tc>
        <w:tc>
          <w:tcPr>
            <w:tcW w:w="2564" w:type="dxa"/>
          </w:tcPr>
          <w:p w14:paraId="66EA9190" w14:textId="77777777" w:rsidR="00D33B64" w:rsidRDefault="00000000">
            <w:pPr>
              <w:jc w:val="center"/>
            </w:pPr>
            <w:r>
              <w:rPr>
                <w:sz w:val="16"/>
              </w:rPr>
              <w:t>0.05/0.10</w:t>
            </w:r>
          </w:p>
        </w:tc>
        <w:tc>
          <w:tcPr>
            <w:tcW w:w="2564" w:type="dxa"/>
          </w:tcPr>
          <w:p w14:paraId="4FDF323B" w14:textId="77777777" w:rsidR="00D33B64" w:rsidRDefault="00000000">
            <w:pPr>
              <w:jc w:val="center"/>
            </w:pPr>
            <w:r>
              <w:rPr>
                <w:sz w:val="16"/>
              </w:rPr>
              <w:t>0.07</w:t>
            </w:r>
          </w:p>
        </w:tc>
        <w:tc>
          <w:tcPr>
            <w:tcW w:w="2564" w:type="dxa"/>
          </w:tcPr>
          <w:p w14:paraId="4096D102" w14:textId="77777777" w:rsidR="00D33B64" w:rsidRDefault="00000000">
            <w:pPr>
              <w:jc w:val="center"/>
            </w:pPr>
            <w:r>
              <w:rPr>
                <w:sz w:val="16"/>
              </w:rPr>
              <w:t>LOG</w:t>
            </w:r>
          </w:p>
        </w:tc>
      </w:tr>
      <w:tr w:rsidR="00D33B64" w14:paraId="61FA7CEB" w14:textId="77777777">
        <w:trPr>
          <w:jc w:val="center"/>
        </w:trPr>
        <w:tc>
          <w:tcPr>
            <w:tcW w:w="2564" w:type="dxa"/>
          </w:tcPr>
          <w:p w14:paraId="5FB4B9D0" w14:textId="77777777" w:rsidR="00D33B64" w:rsidRDefault="00000000">
            <w:pPr>
              <w:jc w:val="center"/>
            </w:pPr>
            <w:r>
              <w:rPr>
                <w:sz w:val="16"/>
              </w:rPr>
              <w:t>Suspicious</w:t>
            </w:r>
          </w:p>
        </w:tc>
        <w:tc>
          <w:tcPr>
            <w:tcW w:w="2564" w:type="dxa"/>
          </w:tcPr>
          <w:p w14:paraId="33494830" w14:textId="77777777" w:rsidR="00D33B64" w:rsidRDefault="00000000">
            <w:pPr>
              <w:jc w:val="center"/>
            </w:pPr>
            <w:r>
              <w:rPr>
                <w:sz w:val="16"/>
              </w:rPr>
              <w:t>0.50/0.40</w:t>
            </w:r>
          </w:p>
        </w:tc>
        <w:tc>
          <w:tcPr>
            <w:tcW w:w="2564" w:type="dxa"/>
          </w:tcPr>
          <w:p w14:paraId="1D633B4C" w14:textId="77777777" w:rsidR="00D33B64" w:rsidRDefault="00000000">
            <w:pPr>
              <w:jc w:val="center"/>
            </w:pPr>
            <w:r>
              <w:rPr>
                <w:sz w:val="16"/>
              </w:rPr>
              <w:t>0.46</w:t>
            </w:r>
          </w:p>
        </w:tc>
        <w:tc>
          <w:tcPr>
            <w:tcW w:w="2564" w:type="dxa"/>
          </w:tcPr>
          <w:p w14:paraId="02E68EA2" w14:textId="77777777" w:rsidR="00D33B64" w:rsidRDefault="00000000">
            <w:pPr>
              <w:jc w:val="center"/>
            </w:pPr>
            <w:r>
              <w:rPr>
                <w:sz w:val="16"/>
              </w:rPr>
              <w:t>ALERT</w:t>
            </w:r>
          </w:p>
        </w:tc>
      </w:tr>
      <w:tr w:rsidR="00D33B64" w14:paraId="3677CBC1" w14:textId="77777777">
        <w:trPr>
          <w:jc w:val="center"/>
        </w:trPr>
        <w:tc>
          <w:tcPr>
            <w:tcW w:w="2564" w:type="dxa"/>
          </w:tcPr>
          <w:p w14:paraId="619739AF" w14:textId="77777777" w:rsidR="00D33B64" w:rsidRDefault="00000000">
            <w:pPr>
              <w:jc w:val="center"/>
            </w:pPr>
            <w:r>
              <w:rPr>
                <w:sz w:val="16"/>
              </w:rPr>
              <w:t>DDoS</w:t>
            </w:r>
          </w:p>
        </w:tc>
        <w:tc>
          <w:tcPr>
            <w:tcW w:w="2564" w:type="dxa"/>
          </w:tcPr>
          <w:p w14:paraId="018CD827" w14:textId="77777777" w:rsidR="00D33B64" w:rsidRDefault="00000000">
            <w:pPr>
              <w:jc w:val="center"/>
            </w:pPr>
            <w:r>
              <w:rPr>
                <w:sz w:val="16"/>
              </w:rPr>
              <w:t>0.95/0.10</w:t>
            </w:r>
          </w:p>
        </w:tc>
        <w:tc>
          <w:tcPr>
            <w:tcW w:w="2564" w:type="dxa"/>
          </w:tcPr>
          <w:p w14:paraId="134D0106" w14:textId="77777777" w:rsidR="00D33B64" w:rsidRDefault="00000000">
            <w:pPr>
              <w:jc w:val="center"/>
            </w:pPr>
            <w:r>
              <w:rPr>
                <w:sz w:val="16"/>
              </w:rPr>
              <w:t>0.61</w:t>
            </w:r>
          </w:p>
        </w:tc>
        <w:tc>
          <w:tcPr>
            <w:tcW w:w="2564" w:type="dxa"/>
          </w:tcPr>
          <w:p w14:paraId="0C2D0725" w14:textId="77777777" w:rsidR="00D33B64" w:rsidRDefault="00000000">
            <w:pPr>
              <w:jc w:val="center"/>
            </w:pPr>
            <w:r>
              <w:rPr>
                <w:sz w:val="16"/>
              </w:rPr>
              <w:t>RATE_LIMIT</w:t>
            </w:r>
          </w:p>
        </w:tc>
      </w:tr>
      <w:tr w:rsidR="00D33B64" w14:paraId="5AB406DF" w14:textId="77777777">
        <w:trPr>
          <w:jc w:val="center"/>
        </w:trPr>
        <w:tc>
          <w:tcPr>
            <w:tcW w:w="2564" w:type="dxa"/>
          </w:tcPr>
          <w:p w14:paraId="2CD07AE0" w14:textId="77777777" w:rsidR="00D33B64" w:rsidRDefault="00000000">
            <w:pPr>
              <w:jc w:val="center"/>
            </w:pPr>
            <w:r>
              <w:rPr>
                <w:sz w:val="16"/>
              </w:rPr>
              <w:t>Compromised</w:t>
            </w:r>
          </w:p>
        </w:tc>
        <w:tc>
          <w:tcPr>
            <w:tcW w:w="2564" w:type="dxa"/>
          </w:tcPr>
          <w:p w14:paraId="5506B7BE" w14:textId="77777777" w:rsidR="00D33B64" w:rsidRDefault="00000000">
            <w:pPr>
              <w:jc w:val="center"/>
            </w:pPr>
            <w:r>
              <w:rPr>
                <w:sz w:val="16"/>
              </w:rPr>
              <w:t>0.95/0.90</w:t>
            </w:r>
          </w:p>
        </w:tc>
        <w:tc>
          <w:tcPr>
            <w:tcW w:w="2564" w:type="dxa"/>
          </w:tcPr>
          <w:p w14:paraId="7DC3E217" w14:textId="77777777" w:rsidR="00D33B64" w:rsidRDefault="00000000">
            <w:pPr>
              <w:jc w:val="center"/>
            </w:pPr>
            <w:r>
              <w:rPr>
                <w:sz w:val="16"/>
              </w:rPr>
              <w:t>0.93</w:t>
            </w:r>
          </w:p>
        </w:tc>
        <w:tc>
          <w:tcPr>
            <w:tcW w:w="2564" w:type="dxa"/>
          </w:tcPr>
          <w:p w14:paraId="5EC5860A" w14:textId="77777777" w:rsidR="00D33B64" w:rsidRDefault="00000000">
            <w:pPr>
              <w:jc w:val="center"/>
            </w:pPr>
            <w:r>
              <w:rPr>
                <w:sz w:val="16"/>
              </w:rPr>
              <w:t>BLOCK</w:t>
            </w:r>
          </w:p>
        </w:tc>
      </w:tr>
    </w:tbl>
    <w:p w14:paraId="47787FAA" w14:textId="77777777" w:rsidR="00D33B64" w:rsidRDefault="00000000">
      <w:pPr>
        <w:spacing w:after="40" w:line="240" w:lineRule="auto"/>
        <w:jc w:val="center"/>
      </w:pPr>
      <w:r>
        <w:rPr>
          <w:i/>
          <w:sz w:val="16"/>
        </w:rPr>
        <w:t>TABLE II. Scenario outcomes</w:t>
      </w:r>
    </w:p>
    <w:p w14:paraId="74C670C0" w14:textId="77777777" w:rsidR="00D33B64" w:rsidRDefault="00000000">
      <w:pPr>
        <w:spacing w:after="40" w:line="240" w:lineRule="auto"/>
        <w:ind w:firstLine="198"/>
        <w:jc w:val="both"/>
      </w:pPr>
      <w:r>
        <w:t>Operational Deep Dive 1: Credential Abuse in Cloud APIs. In this scenario, the system continuously monitors burst AssumeRole chains, unusual source ASN changes, impossible travel, and repeated policy simulation calls. When the fused score crosses a policy boundary, the agent performs staged reasoning across identity context, session lineage, privilege graph depth, and adjacent account exposure before deciding severity. This reasoning step is important because it converts isolated anomalies into a coherent risk narrative that analysts can verify quickly under time pressure. The autonomous response layer then applies short-lived token revocation, conditional access tightening, and temporary deny statements scoped to high-risk resources, and each transition is persisted with timeline snapshots, token IDs, IAM diff artifacts, and analyst feedback tags. A known operational risk is that over-rotation of access keys can interrupt automation paths; therefore, the playbook includes staged revocation windows with service-principal allowlists and rollback checkpoints. By encoding this logic directly into the response flow, the platform balances speed, explainability, and business continuity while still keeping the entire decision path auditable.</w:t>
      </w:r>
    </w:p>
    <w:p w14:paraId="7BE06757" w14:textId="77777777" w:rsidR="00D33B64" w:rsidRDefault="00000000">
      <w:pPr>
        <w:spacing w:after="40" w:line="240" w:lineRule="auto"/>
        <w:ind w:firstLine="198"/>
        <w:jc w:val="both"/>
      </w:pPr>
      <w:r>
        <w:t>Operational Deep Dive 2: Distributed Denial-of-Service Progression. In this scenario, the system continuously monitors rapid rises in packet entropy, SYN imbalance, connection churn, and edge-to-origin ratio anomalies. When the fused score crosses a policy boundary, the agent performs staged reasoning across capacity baselines, campaign velocity, and user-impact indicators to avoid overreacting to marketing traffic spikes. This reasoning step is important because it converts isolated anomalies into a coherent risk narrative that analysts can verify quickly under time pressure. The autonomous response layer then applies adaptive rate controls, perimeter hardening rules, and selective upstream scrubbing escalation, and each transition is persisted with per-minute risk traces, threshold transitions, and mitigated versus dropped flow summaries. A known operational risk is that aggressive mitigation may degrade legitimate burst traffic during peak events; therefore, the playbook includes progressive throttling with canary exemptions, monitored rollback timers, and dynamic business-hour profiles. By encoding this logic directly into the response flow, the platform balances speed, explainability, and business continuity while still keeping the entire decision path auditable.</w:t>
      </w:r>
    </w:p>
    <w:p w14:paraId="6AE95C87" w14:textId="77777777" w:rsidR="00D33B64" w:rsidRDefault="00000000">
      <w:pPr>
        <w:spacing w:after="40" w:line="240" w:lineRule="auto"/>
        <w:ind w:firstLine="198"/>
        <w:jc w:val="both"/>
      </w:pPr>
      <w:r>
        <w:t xml:space="preserve">Operational Deep Dive 3: Lateral Movement in Virtual Private Clouds. In this scenario, the system continuously monitors east-west scan signatures, unusual security-group mutations, and atypical service-to-service trust hops. When the fused score crosses a policy boundary, the agent performs staged reasoning across topology distance, trust boundary crossings, and process ancestry to distinguish maintenance </w:t>
      </w:r>
      <w:r>
        <w:lastRenderedPageBreak/>
        <w:t>from intrusion. This reasoning step is important because it converts isolated anomalies into a coherent risk narrative that analysts can verify quickly under time pressure. The autonomous response layer then applies micro-segmentation enforcement, temporary route constraints, and host-level isolation recommendations, and each transition is persisted with graph snapshots, blast-radius estimates, and entity relationship evidence. A known operational risk is that full host isolation can disrupt shared-state workloads; therefore, the playbook includes quarantine by service ring, preserve forensic telemetry streams, and enforce dependency-aware isolation. By encoding this logic directly into the response flow, the platform balances speed, explainability, and business continuity while still keeping the entire decision path auditable.</w:t>
      </w:r>
    </w:p>
    <w:p w14:paraId="158FA4DA" w14:textId="77777777" w:rsidR="00D33B64" w:rsidRDefault="00000000">
      <w:pPr>
        <w:spacing w:after="40" w:line="240" w:lineRule="auto"/>
        <w:ind w:firstLine="198"/>
        <w:jc w:val="both"/>
      </w:pPr>
      <w:r>
        <w:t>Operational Deep Dive 4: Data Exfiltration Through Stealth Channels. In this scenario, the system continuously monitors small but persistent egress bursts, anomalous object read cadence, and destination novelty scores. When the fused score crosses a policy boundary, the agent performs staged reasoning across data sensitivity labels, user intent history, and destination reputation before triggering strict controls. This reasoning step is important because it converts isolated anomalies into a coherent risk narrative that analysts can verify quickly under time pressure. The autonomous response layer then applies egress policy tightening, copy-operation interception, and mandatory justification workflows, and each transition is persisted with object access maps, transfer deltas, and sanction records. A known operational risk is that false exfiltration alarms may block backup or analytics jobs; therefore, the playbook includes job identity profiling, recurring transfer baselines, and exception windows with dual approval. By encoding this logic directly into the response flow, the platform balances speed, explainability, and business continuity while still keeping the entire decision path auditable.</w:t>
      </w:r>
    </w:p>
    <w:p w14:paraId="42B3F1C6" w14:textId="77777777" w:rsidR="00D33B64" w:rsidRDefault="00000000">
      <w:pPr>
        <w:spacing w:after="40" w:line="240" w:lineRule="auto"/>
        <w:ind w:firstLine="198"/>
        <w:jc w:val="both"/>
      </w:pPr>
      <w:r>
        <w:t>Operational Deep Dive 5: Cloud Control Plane Reconnaissance. In this scenario, the system continuously monitors sudden enumeration of services, Describe and List API sweeps, and broad region fan-out. When the fused score crosses a policy boundary, the agent performs staged reasoning across role purpose, historical admin behavior, and sequence patterns to classify recon intent. This reasoning step is important because it converts isolated anomalies into a coherent risk narrative that analysts can verify quickly under time pressure. The autonomous response layer then applies risk-tiered alerting, API rate shaping, and policy challenge prompts for sensitive discovery, and each transition is persisted with API sequence replays, region spread metrics, and inferred objective tags. A known operational risk is that high-noise alerting can fatigue analysts during audits; therefore, the playbook includes campaign-level correlation, suppression windows, and confidence scoring tied to multi-signal confirmation. By encoding this logic directly into the response flow, the platform balances speed, explainability, and business continuity while still keeping the entire decision path auditable.</w:t>
      </w:r>
    </w:p>
    <w:p w14:paraId="0C4F03B6" w14:textId="77777777" w:rsidR="00D33B64" w:rsidRDefault="00000000">
      <w:pPr>
        <w:spacing w:after="40" w:line="240" w:lineRule="auto"/>
        <w:ind w:firstLine="198"/>
        <w:jc w:val="both"/>
      </w:pPr>
      <w:r>
        <w:t>Operational Deep Dive 6: UEBA Drift and Insider Misuse. In this scenario, the system continuously monitors off-hours administrative actions, sudden privilege exercise spikes, and unusual data-domain transitions. When the fused score crosses a policy boundary, the agent performs staged reasoning across role tenure, project lifecycle context, and peer-group behavior to grade deviation significance. This reasoning step is important because it converts isolated anomalies into a coherent risk narrative that analysts can verify quickly under time pressure. The autonomous response layer then applies step-up authentication, temporary privilege bounds, and manager-visible risk notifications, and each transition is persisted with behavior vectors, peer cohorts, and remediated session summaries. A known operational risk is that inflexible controls can penalize legitimate incident responders; therefore, the playbook includes incident-mode toggles, emergency-role attestations, and post-event reconciliation loops. By encoding this logic directly into the response flow, the platform balances speed, explainability, and business continuity while still keeping the entire decision path auditable.</w:t>
      </w:r>
    </w:p>
    <w:p w14:paraId="4E4E1B3B" w14:textId="77777777" w:rsidR="00D33B64" w:rsidRDefault="00000000">
      <w:pPr>
        <w:spacing w:after="40" w:line="240" w:lineRule="auto"/>
        <w:ind w:firstLine="198"/>
        <w:jc w:val="both"/>
      </w:pPr>
      <w:r>
        <w:t>Operational Deep Dive 7: Supply Chain and Dependency Risk. In this scenario, the system continuously monitors new package signatures, sudden checksum drift, and unusual build-time network destinations. When the fused score crosses a policy boundary, the agent performs staged reasoning across release provenance, package trust history, and environment exposure before containment. This reasoning step is important because it converts isolated anomalies into a coherent risk narrative that analysts can verify quickly under time pressure. The autonomous response layer then applies build gate hardening, artifact quarantine, and provenance validation enforcement, and each transition is persisted with hash lineage, build logs, and software bill-of-material snapshots. A known operational risk is that strict blocking can halt urgent production patching; therefore, the playbook includes sandbox verification lanes, emergency override policy, and mandatory retroactive attestation. By encoding this logic directly into the response flow, the platform balances speed, explainability, and business continuity while still keeping the entire decision path auditable.</w:t>
      </w:r>
    </w:p>
    <w:p w14:paraId="25779687" w14:textId="77777777" w:rsidR="00D33B64" w:rsidRDefault="00000000">
      <w:pPr>
        <w:spacing w:after="40" w:line="240" w:lineRule="auto"/>
        <w:ind w:firstLine="198"/>
        <w:jc w:val="both"/>
      </w:pPr>
      <w:r>
        <w:t xml:space="preserve">Operational Deep Dive 8: Ransomware-Like Encryption Behavior. In this scenario, the system continuously monitors high-frequency file rewrites, entropy spikes in object versions, and endpoint command burst patterns. When the fused score crosses a policy boundary, the agent performs staged reasoning across workload purpose, expected cryptographic operations, and identity confidence before response. This reasoning step is important because it converts isolated anomalies into a coherent risk narrative that analysts can verify quickly under time pressure. The autonomous response layer then applies write-rate limiting, snapshot lock activation, and endpoint network segmentation, and each transition is persisted with version-chain timelines, process trees, and containment decision rationale. A known operational risk is that premature lock enforcement may block </w:t>
      </w:r>
      <w:r>
        <w:lastRenderedPageBreak/>
        <w:t>lawful bulk transformation jobs; therefore, the playbook includes application-aware allowlists and staged confirmation against multiple telemetry streams. By encoding this logic directly into the response flow, the platform balances speed, explainability, and business continuity while still keeping the entire decision path auditable.</w:t>
      </w:r>
    </w:p>
    <w:p w14:paraId="77D688B0" w14:textId="77777777" w:rsidR="00D33B64" w:rsidRDefault="00000000">
      <w:pPr>
        <w:spacing w:after="40" w:line="240" w:lineRule="auto"/>
        <w:ind w:firstLine="198"/>
        <w:jc w:val="both"/>
      </w:pPr>
      <w:r>
        <w:t>Operational Deep Dive 9: Container Escape and Runtime Tampering. In this scenario, the system continuously monitors unexpected capability use, host namespace access attempts, and privileged mount operations. When the fused score crosses a policy boundary, the agent performs staged reasoning across image policy compliance, orchestration intent, and node-level anomaly context. This reasoning step is important because it converts isolated anomalies into a coherent risk narrative that analysts can verify quickly under time pressure. The autonomous response layer then applies pod eviction, node cordon workflows, and runtime policy tightening, and each transition is persisted with admission logs, runtime traces, and control-action provenance. A known operational risk is that blanket node cordons can reduce service availability; therefore, the playbook includes zone-aware evacuation with workload priority classes and autoscaling coordination. By encoding this logic directly into the response flow, the platform balances speed, explainability, and business continuity while still keeping the entire decision path auditable.</w:t>
      </w:r>
    </w:p>
    <w:p w14:paraId="7C46CB5C" w14:textId="77777777" w:rsidR="00D33B64" w:rsidRDefault="00000000">
      <w:pPr>
        <w:spacing w:after="40" w:line="240" w:lineRule="auto"/>
        <w:ind w:firstLine="198"/>
        <w:jc w:val="both"/>
      </w:pPr>
      <w:r>
        <w:t>Operational Deep Dive 10: Incident Communication and Human-in-the-Loop Coordination. In this scenario, the system continuously monitors analyst queue depth, escalation delays, and unresolved high-risk case age. When the fused score crosses a policy boundary, the agent performs staged reasoning across operational burden, confidence levels, and playbook completeness before automation escalation. This reasoning step is important because it converts isolated anomalies into a coherent risk narrative that analysts can verify quickly under time pressure. The autonomous response layer then applies priority batching, analyst assist summaries, and contextual recommendation generation, and each transition is persisted with explanation packets, review outcomes, and decision-store trace IDs. A known operational risk is that opaque messaging reduces trust in autonomous decisions; therefore, the playbook includes clear rationale templates, evidence citations, and mandatory post-action analyst notes. By encoding this logic directly into the response flow, the platform balances speed, explainability, and business continuity while still keeping the entire decision path auditable.</w:t>
      </w:r>
    </w:p>
    <w:p w14:paraId="42F47957" w14:textId="77777777" w:rsidR="00D33B64" w:rsidRDefault="00000000">
      <w:pPr>
        <w:spacing w:after="40" w:line="240" w:lineRule="auto"/>
        <w:ind w:firstLine="198"/>
        <w:jc w:val="both"/>
      </w:pPr>
      <w:r>
        <w:t xml:space="preserve">Operational Deep Dive 11: Credential Abuse in Cloud APIs. In this scenario, the system continuously monitors burst AssumeRole chains, unusual source ASN changes, impossible travel, and repeated policy simulation calls. When the fused score crosses a policy boundary, the agent performs staged reasoning across identity context, session lineage, privilege graph depth, and adjacent account exposure before deciding severity. This reasoning step is important because it converts isolated anomalies into a coherent risk narrative that analysts can verify quickly under time pressure. The </w:t>
      </w:r>
      <w:r>
        <w:t>autonomous response layer then applies short-lived token revocation, conditional access tightening, and temporary deny statements scoped to high-risk resources, and each transition is persisted with timeline snapshots, token IDs, IAM diff artifacts, and analyst feedback tags. A known operational risk is that over-rotation of access keys can interrupt automation paths; therefore, the playbook includes staged revocation windows with service-principal allowlists and rollback checkpoints. By encoding this logic directly into the response flow, the platform balances speed, explainability, and business continuity while still keeping the entire decision path auditable.</w:t>
      </w:r>
    </w:p>
    <w:p w14:paraId="37DFCE41" w14:textId="77777777" w:rsidR="00D33B64" w:rsidRDefault="00000000">
      <w:pPr>
        <w:spacing w:after="40" w:line="240" w:lineRule="auto"/>
        <w:ind w:firstLine="198"/>
        <w:jc w:val="both"/>
      </w:pPr>
      <w:r>
        <w:t>Operational Deep Dive 12: Distributed Denial-of-Service Progression. In this scenario, the system continuously monitors rapid rises in packet entropy, SYN imbalance, connection churn, and edge-to-origin ratio anomalies. When the fused score crosses a policy boundary, the agent performs staged reasoning across capacity baselines, campaign velocity, and user-impact indicators to avoid overreacting to marketing traffic spikes. This reasoning step is important because it converts isolated anomalies into a coherent risk narrative that analysts can verify quickly under time pressure. The autonomous response layer then applies adaptive rate controls, perimeter hardening rules, and selective upstream scrubbing escalation, and each transition is persisted with per-minute risk traces, threshold transitions, and mitigated versus dropped flow summaries. A known operational risk is that aggressive mitigation may degrade legitimate burst traffic during peak events; therefore, the playbook includes progressive throttling with canary exemptions, monitored rollback timers, and dynamic business-hour profiles. By encoding this logic directly into the response flow, the platform balances speed, explainability, and business continuity while still keeping the entire decision path auditable.</w:t>
      </w:r>
    </w:p>
    <w:p w14:paraId="1FF870AD" w14:textId="77777777" w:rsidR="00D33B64" w:rsidRDefault="00000000">
      <w:pPr>
        <w:spacing w:after="40" w:line="240" w:lineRule="auto"/>
        <w:ind w:firstLine="198"/>
        <w:jc w:val="both"/>
      </w:pPr>
      <w:r>
        <w:t>Operational Deep Dive 13: Lateral Movement in Virtual Private Clouds. In this scenario, the system continuously monitors east-west scan signatures, unusual security-group mutations, and atypical service-to-service trust hops. When the fused score crosses a policy boundary, the agent performs staged reasoning across topology distance, trust boundary crossings, and process ancestry to distinguish maintenance from intrusion. This reasoning step is important because it converts isolated anomalies into a coherent risk narrative that analysts can verify quickly under time pressure. The autonomous response layer then applies micro-segmentation enforcement, temporary route constraints, and host-level isolation recommendations, and each transition is persisted with graph snapshots, blast-radius estimates, and entity relationship evidence. A known operational risk is that full host isolation can disrupt shared-state workloads; therefore, the playbook includes quarantine by service ring, preserve forensic telemetry streams, and enforce dependency-aware isolation. By encoding this logic directly into the response flow, the platform balances speed, explainability, and business continuity while still keeping the entire decision path auditable.</w:t>
      </w:r>
    </w:p>
    <w:p w14:paraId="19076741" w14:textId="77777777" w:rsidR="00D33B64" w:rsidRDefault="00000000">
      <w:pPr>
        <w:spacing w:after="40" w:line="240" w:lineRule="auto"/>
        <w:ind w:firstLine="198"/>
        <w:jc w:val="both"/>
      </w:pPr>
      <w:r>
        <w:lastRenderedPageBreak/>
        <w:t>Operational Deep Dive 14: Data Exfiltration Through Stealth Channels. In this scenario, the system continuously monitors small but persistent egress bursts, anomalous object read cadence, and destination novelty scores. When the fused score crosses a policy boundary, the agent performs staged reasoning across data sensitivity labels, user intent history, and destination reputation before triggering strict controls. This reasoning step is important because it converts isolated anomalies into a coherent risk narrative that analysts can verify quickly under time pressure. The autonomous response layer then applies egress policy tightening, copy-operation interception, and mandatory justification workflows, and each transition is persisted with object access maps, transfer deltas, and sanction records. A known operational risk is that false exfiltration alarms may block backup or analytics jobs; therefore, the playbook includes job identity profiling, recurring transfer baselines, and exception windows with dual approval. By encoding this logic directly into the response flow, the platform balances speed, explainability, and business continuity while still keeping the entire decision path auditable.</w:t>
      </w:r>
    </w:p>
    <w:p w14:paraId="4C10EA40" w14:textId="77777777" w:rsidR="00D33B64" w:rsidRDefault="00000000">
      <w:pPr>
        <w:spacing w:before="80" w:after="40" w:line="240" w:lineRule="auto"/>
        <w:jc w:val="center"/>
      </w:pPr>
      <w:r>
        <w:rPr>
          <w:b/>
        </w:rPr>
        <w:t>REFERENCES</w:t>
      </w:r>
    </w:p>
    <w:p w14:paraId="3FF77796" w14:textId="77777777" w:rsidR="00D33B64" w:rsidRDefault="00000000">
      <w:pPr>
        <w:spacing w:after="20" w:line="240" w:lineRule="auto"/>
        <w:ind w:left="255" w:hanging="198"/>
      </w:pPr>
      <w:r>
        <w:rPr>
          <w:sz w:val="16"/>
        </w:rPr>
        <w:t>[1] F. T. Liu, K. M. Ting, and Z.-H. Zhou, 'Isolation Forest,' Proc. IEEE ICDM, 2008.</w:t>
      </w:r>
    </w:p>
    <w:p w14:paraId="13B38345" w14:textId="77777777" w:rsidR="00D33B64" w:rsidRDefault="00000000">
      <w:pPr>
        <w:spacing w:after="20" w:line="240" w:lineRule="auto"/>
        <w:ind w:left="255" w:hanging="198"/>
      </w:pPr>
      <w:r>
        <w:rPr>
          <w:sz w:val="16"/>
        </w:rPr>
        <w:t>[2] S. Yao et al., 'ReAct: Synergizing Reasoning and Acting in Language Models,' ICLR, 2023.</w:t>
      </w:r>
    </w:p>
    <w:p w14:paraId="68BFB65F" w14:textId="77777777" w:rsidR="00D33B64" w:rsidRDefault="00000000">
      <w:pPr>
        <w:spacing w:after="20" w:line="240" w:lineRule="auto"/>
        <w:ind w:left="255" w:hanging="198"/>
      </w:pPr>
      <w:r>
        <w:rPr>
          <w:sz w:val="16"/>
        </w:rPr>
        <w:t>[3] S. Baral, S. Saha, and A. Haque, 'Autonomous Cyber Incident Response Using Reasoning and Action,' IEEE IWCMC, 2025.</w:t>
      </w:r>
    </w:p>
    <w:p w14:paraId="1DC43F38" w14:textId="77777777" w:rsidR="00D33B64" w:rsidRDefault="00000000">
      <w:pPr>
        <w:spacing w:after="20" w:line="240" w:lineRule="auto"/>
        <w:ind w:left="255" w:hanging="198"/>
      </w:pPr>
      <w:r>
        <w:rPr>
          <w:sz w:val="16"/>
        </w:rPr>
        <w:t>[4] X. Lin, G. Avina, and J. Santoyo, 'Reducing False Alerts in Cybersecurity Threat Detection Using Generative AI,' 2025.</w:t>
      </w:r>
    </w:p>
    <w:p w14:paraId="0CB9FF9E" w14:textId="77777777" w:rsidR="00D33B64" w:rsidRDefault="00000000">
      <w:pPr>
        <w:spacing w:after="20" w:line="240" w:lineRule="auto"/>
        <w:ind w:left="255" w:hanging="198"/>
      </w:pPr>
      <w:r>
        <w:rPr>
          <w:sz w:val="16"/>
        </w:rPr>
        <w:t>[5] C. Djidjev, 'siForest: Detecting Network Anomalies with Set-Structured Isolation Forest,' arXiv, 2025.</w:t>
      </w:r>
    </w:p>
    <w:p w14:paraId="569013AF" w14:textId="77777777" w:rsidR="00D33B64" w:rsidRDefault="00000000">
      <w:pPr>
        <w:spacing w:after="20" w:line="240" w:lineRule="auto"/>
        <w:ind w:left="255" w:hanging="198"/>
      </w:pPr>
      <w:r>
        <w:rPr>
          <w:sz w:val="16"/>
        </w:rPr>
        <w:t>[6] S. Zehra et al., 'DeSFAM: AI-Driven Framework for Securing Cloud Containers,' IEEE Access, 2025.</w:t>
      </w:r>
    </w:p>
    <w:p w14:paraId="704FFEC2" w14:textId="77777777" w:rsidR="00D33B64" w:rsidRDefault="00000000">
      <w:pPr>
        <w:spacing w:after="20" w:line="240" w:lineRule="auto"/>
        <w:ind w:left="255" w:hanging="198"/>
      </w:pPr>
      <w:r>
        <w:rPr>
          <w:sz w:val="16"/>
        </w:rPr>
        <w:t>[7] AWS, 'CloudTrail User Guide,' Amazon Web Services Documentation, 2025.</w:t>
      </w:r>
    </w:p>
    <w:p w14:paraId="47ED3EAE" w14:textId="77777777" w:rsidR="00D33B64" w:rsidRDefault="00000000">
      <w:pPr>
        <w:spacing w:after="20" w:line="240" w:lineRule="auto"/>
        <w:ind w:left="255" w:hanging="198"/>
      </w:pPr>
      <w:r>
        <w:rPr>
          <w:sz w:val="16"/>
        </w:rPr>
        <w:t>[8] NIST, 'Guide to Intrusion Detection and Prevention Systems,' NIST SP 800-94.</w:t>
      </w:r>
    </w:p>
    <w:p w14:paraId="738A69C2" w14:textId="77777777" w:rsidR="00D33B64" w:rsidRDefault="00000000">
      <w:pPr>
        <w:spacing w:after="20" w:line="240" w:lineRule="auto"/>
        <w:ind w:left="255" w:hanging="198"/>
      </w:pPr>
      <w:r>
        <w:rPr>
          <w:sz w:val="16"/>
        </w:rPr>
        <w:t>[9] ENISA, 'Threat Landscape Report,' European Union Agency for Cybersecurity, 2025.</w:t>
      </w:r>
    </w:p>
    <w:p w14:paraId="20081B6F" w14:textId="77777777" w:rsidR="00D33B64" w:rsidRDefault="00000000">
      <w:pPr>
        <w:spacing w:after="20" w:line="240" w:lineRule="auto"/>
        <w:ind w:left="255" w:hanging="198"/>
      </w:pPr>
      <w:r>
        <w:rPr>
          <w:sz w:val="16"/>
        </w:rPr>
        <w:t>[10] MITRE, 'ATT and CK for Enterprise Matrix,' MITRE Corp.</w:t>
      </w:r>
    </w:p>
    <w:sectPr w:rsidR="00D33B64" w:rsidSect="00034616">
      <w:type w:val="continuous"/>
      <w:pgSz w:w="12240" w:h="15840"/>
      <w:pgMar w:top="1077" w:right="992" w:bottom="1440" w:left="992" w:header="720" w:footer="720" w:gutter="0"/>
      <w:cols w:num="2" w:space="30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1443436">
    <w:abstractNumId w:val="8"/>
  </w:num>
  <w:num w:numId="2" w16cid:durableId="1241795069">
    <w:abstractNumId w:val="6"/>
  </w:num>
  <w:num w:numId="3" w16cid:durableId="1225065642">
    <w:abstractNumId w:val="5"/>
  </w:num>
  <w:num w:numId="4" w16cid:durableId="56900351">
    <w:abstractNumId w:val="4"/>
  </w:num>
  <w:num w:numId="5" w16cid:durableId="827747394">
    <w:abstractNumId w:val="7"/>
  </w:num>
  <w:num w:numId="6" w16cid:durableId="311714705">
    <w:abstractNumId w:val="3"/>
  </w:num>
  <w:num w:numId="7" w16cid:durableId="510803655">
    <w:abstractNumId w:val="2"/>
  </w:num>
  <w:num w:numId="8" w16cid:durableId="1376739773">
    <w:abstractNumId w:val="1"/>
  </w:num>
  <w:num w:numId="9" w16cid:durableId="1598250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AC463A"/>
    <w:rsid w:val="00B47730"/>
    <w:rsid w:val="00CB0664"/>
    <w:rsid w:val="00D33B64"/>
    <w:rsid w:val="00DE72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F1FBC9"/>
  <w14:defaultImageDpi w14:val="300"/>
  <w15:docId w15:val="{C54BC25C-F9AD-483F-B6CB-0CC8C4451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5836</Words>
  <Characters>33270</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39028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No_ Name</cp:lastModifiedBy>
  <cp:revision>2</cp:revision>
  <dcterms:created xsi:type="dcterms:W3CDTF">2013-12-23T23:15:00Z</dcterms:created>
  <dcterms:modified xsi:type="dcterms:W3CDTF">2026-04-20T15:38:00Z</dcterms:modified>
  <cp:category/>
</cp:coreProperties>
</file>