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40" w:lineRule="auto"/>
        <w:jc w:val="center"/>
      </w:pPr>
      <w:r>
        <w:rPr>
          <w:rFonts w:ascii="Times New Roman" w:hAnsi="Times New Roman"/>
          <w:b/>
          <w:i w:val="0"/>
          <w:sz w:val="40"/>
        </w:rPr>
        <w:t>Cloud-Native Hybrid Threat Detection System with Agentic AI Autonomous Response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3419"/>
        <w:gridCol w:w="3419"/>
        <w:gridCol w:w="3419"/>
      </w:tblGrid>
      <w:tr>
        <w:tc>
          <w:tcPr>
            <w:tcW w:type="dxa" w:w="3419"/>
          </w:tcPr>
          <w:p>
            <w:pPr>
              <w:spacing w:before="0" w:after="0" w:line="240" w:lineRule="auto"/>
              <w:jc w:val="center"/>
            </w:pPr>
            <w:r>
              <w:rPr>
                <w:rFonts w:ascii="Times New Roman" w:hAnsi="Times New Roman"/>
                <w:b/>
                <w:i w:val="0"/>
                <w:sz w:val="20"/>
              </w:rPr>
              <w:t>Aarit Haldar</w:t>
              <w:br/>
            </w:r>
            <w:r>
              <w:rPr>
                <w:rFonts w:ascii="Times New Roman" w:hAnsi="Times New Roman"/>
                <w:b w:val="0"/>
                <w:i w:val="0"/>
                <w:sz w:val="18"/>
              </w:rPr>
              <w:t>Dept. of Computer Science and Engineering</w:t>
              <w:br/>
              <w:t>Dayananda Sagar College of Engineering</w:t>
              <w:br/>
              <w:t>Bengaluru, India</w:t>
              <w:br/>
              <w:t>ENG24CY0073</w:t>
            </w:r>
          </w:p>
        </w:tc>
        <w:tc>
          <w:tcPr>
            <w:tcW w:type="dxa" w:w="3419"/>
          </w:tcPr>
          <w:p>
            <w:pPr>
              <w:spacing w:before="0" w:after="0" w:line="240" w:lineRule="auto"/>
              <w:jc w:val="center"/>
            </w:pPr>
            <w:r>
              <w:rPr>
                <w:rFonts w:ascii="Times New Roman" w:hAnsi="Times New Roman"/>
                <w:b/>
                <w:i w:val="0"/>
                <w:sz w:val="20"/>
              </w:rPr>
              <w:t>Priyanshu Sithole</w:t>
              <w:br/>
            </w:r>
            <w:r>
              <w:rPr>
                <w:rFonts w:ascii="Times New Roman" w:hAnsi="Times New Roman"/>
                <w:b w:val="0"/>
                <w:i w:val="0"/>
                <w:sz w:val="18"/>
              </w:rPr>
              <w:t>Dept. of Computer Science and Engineering</w:t>
              <w:br/>
              <w:t>Dayananda Sagar College of Engineering</w:t>
              <w:br/>
              <w:t>Bengaluru, India</w:t>
              <w:br/>
              <w:t>ENG24CY0189</w:t>
            </w:r>
          </w:p>
        </w:tc>
        <w:tc>
          <w:tcPr>
            <w:tcW w:type="dxa" w:w="3419"/>
          </w:tcPr>
          <w:p>
            <w:pPr>
              <w:spacing w:before="0" w:after="0" w:line="240" w:lineRule="auto"/>
              <w:jc w:val="center"/>
            </w:pPr>
            <w:r>
              <w:rPr>
                <w:rFonts w:ascii="Times New Roman" w:hAnsi="Times New Roman"/>
                <w:b/>
                <w:i w:val="0"/>
                <w:sz w:val="20"/>
              </w:rPr>
              <w:t>Jay Bhagat</w:t>
              <w:br/>
            </w:r>
            <w:r>
              <w:rPr>
                <w:rFonts w:ascii="Times New Roman" w:hAnsi="Times New Roman"/>
                <w:b w:val="0"/>
                <w:i w:val="0"/>
                <w:sz w:val="18"/>
              </w:rPr>
              <w:t>Dept. of Computer Science and Engineering</w:t>
              <w:br/>
              <w:t>Dayananda Sagar College of Engineering</w:t>
              <w:br/>
              <w:t>Bengaluru, India</w:t>
              <w:br/>
              <w:t>ENG24CY0089</w:t>
            </w:r>
          </w:p>
        </w:tc>
      </w:tr>
    </w:tbl>
    <w:p/>
    <w:p>
      <w:pPr>
        <w:spacing w:before="0" w:after="40" w:line="240" w:lineRule="auto"/>
        <w:jc w:val="both"/>
      </w:pPr>
      <w:r>
        <w:rPr>
          <w:rFonts w:ascii="Times New Roman" w:hAnsi="Times New Roman"/>
          <w:b/>
          <w:i/>
          <w:sz w:val="18"/>
        </w:rPr>
        <w:t xml:space="preserve">Abstract- </w:t>
      </w:r>
      <w:r>
        <w:rPr>
          <w:rFonts w:ascii="Times New Roman" w:hAnsi="Times New Roman"/>
          <w:b w:val="0"/>
          <w:i/>
          <w:sz w:val="18"/>
        </w:rPr>
        <w:t>We present a cloud-native hybrid threat detection system that combines network intrusion signals (IDS) and user behavior analytics (UEBA) using a weighted fusion score. An Agentic AI layer then applies ReAct-style reasoning with tool calls to produce explainable and autonomous security actions. On controlled scenarios, the system achieved consistent detection across normal, suspicious, DDoS, and compromised-account patterns while keeping local model inference and response latency practical for SOC use.</w:t>
      </w:r>
    </w:p>
    <w:p>
      <w:pPr>
        <w:spacing w:before="0" w:after="80" w:line="240" w:lineRule="auto"/>
        <w:jc w:val="both"/>
      </w:pPr>
      <w:r>
        <w:rPr>
          <w:rFonts w:ascii="Times New Roman" w:hAnsi="Times New Roman"/>
          <w:b/>
          <w:i/>
          <w:sz w:val="18"/>
        </w:rPr>
        <w:t xml:space="preserve">Keywords- </w:t>
      </w:r>
      <w:r>
        <w:rPr>
          <w:rFonts w:ascii="Times New Roman" w:hAnsi="Times New Roman"/>
          <w:b w:val="0"/>
          <w:i/>
          <w:sz w:val="18"/>
        </w:rPr>
        <w:t>intrusion detection, UEBA, isolation forest, cloud security, agentic AI, ReAct, autonomous response</w:t>
      </w:r>
    </w:p>
    <w:p>
      <w:pPr>
        <w:sectPr>
          <w:pgSz w:w="12240" w:h="15840"/>
          <w:pgMar w:top="1077" w:right="992" w:bottom="1440" w:left="992" w:header="720" w:footer="720" w:gutter="0"/>
          <w:cols w:space="300" w:num="1"/>
          <w:docGrid w:linePitch="360"/>
        </w:sectPr>
      </w:pPr>
    </w:p>
    <w:p>
      <w:pPr>
        <w:spacing w:before="80" w:after="40" w:line="240" w:lineRule="auto"/>
        <w:jc w:val="center"/>
      </w:pPr>
      <w:r>
        <w:rPr>
          <w:rFonts w:ascii="Times New Roman" w:hAnsi="Times New Roman"/>
          <w:b/>
          <w:i w:val="0"/>
          <w:sz w:val="20"/>
        </w:rPr>
        <w:t>I. INTRODUCTION</w:t>
      </w:r>
    </w:p>
    <w:p>
      <w:pPr>
        <w:spacing w:before="0" w:after="40" w:line="240" w:lineRule="auto"/>
        <w:ind w:firstLine="198"/>
        <w:jc w:val="both"/>
      </w:pPr>
      <w:r>
        <w:rPr>
          <w:rFonts w:ascii="Times New Roman" w:hAnsi="Times New Roman"/>
          <w:b w:val="0"/>
          <w:i w:val="0"/>
          <w:sz w:val="20"/>
        </w:rPr>
        <w:t>Cloud workloads now generate high-volume telemetry from infrastructure, identity, and application layers. Traditional single-source detectors can trigger noisy alerts because they evaluate traffic or user behavior in isolation. Our objective is to increase decision quality by correlating network anomaly evidence with user-context evidence before response.</w:t>
      </w:r>
    </w:p>
    <w:p>
      <w:pPr>
        <w:spacing w:before="0" w:after="40" w:line="240" w:lineRule="auto"/>
        <w:ind w:firstLine="198"/>
        <w:jc w:val="both"/>
      </w:pPr>
      <w:r>
        <w:rPr>
          <w:rFonts w:ascii="Times New Roman" w:hAnsi="Times New Roman"/>
          <w:b w:val="0"/>
          <w:i w:val="0"/>
          <w:sz w:val="20"/>
        </w:rPr>
        <w:t>The proposed architecture fuses IDS and UEBA outputs into a single risk score and passes the result to an explainable AI decision layer. This produces both machine-actionable response classes and human-readable rationale for analysts.</w:t>
      </w:r>
    </w:p>
    <w:p>
      <w:pPr>
        <w:spacing w:before="80" w:after="40" w:line="240" w:lineRule="auto"/>
        <w:jc w:val="center"/>
      </w:pPr>
      <w:r>
        <w:rPr>
          <w:rFonts w:ascii="Times New Roman" w:hAnsi="Times New Roman"/>
          <w:b/>
          <w:i w:val="0"/>
          <w:sz w:val="20"/>
        </w:rPr>
        <w:t>II. METHOD</w:t>
      </w:r>
    </w:p>
    <w:p>
      <w:pPr>
        <w:spacing w:before="40" w:after="20" w:line="240" w:lineRule="auto"/>
        <w:jc w:val="left"/>
      </w:pPr>
      <w:r>
        <w:rPr>
          <w:rFonts w:ascii="Times New Roman" w:hAnsi="Times New Roman"/>
          <w:b w:val="0"/>
          <w:i/>
          <w:sz w:val="20"/>
        </w:rPr>
        <w:t>A. Weighted Risk Fusion</w:t>
      </w:r>
    </w:p>
    <w:p>
      <w:pPr>
        <w:spacing w:before="0" w:after="40" w:line="240" w:lineRule="auto"/>
        <w:ind w:firstLine="198"/>
        <w:jc w:val="both"/>
      </w:pPr>
      <w:r>
        <w:rPr>
          <w:rFonts w:ascii="Times New Roman" w:hAnsi="Times New Roman"/>
          <w:b w:val="0"/>
          <w:i w:val="0"/>
          <w:sz w:val="20"/>
        </w:rPr>
        <w:t>Let R_network and R_user be normalized risk values in [0,1]. The final risk score is computed as a weighted sum that prioritizes network events for fast external attack detection while retaining user-behavior context to reduce false positives.</w:t>
      </w:r>
    </w:p>
    <w:p>
      <w:pPr>
        <w:spacing w:before="0" w:after="40" w:line="240" w:lineRule="auto"/>
        <w:jc w:val="center"/>
      </w:pPr>
      <w:r>
        <w:rPr>
          <w:rFonts w:ascii="Times New Roman" w:hAnsi="Times New Roman"/>
          <w:b w:val="0"/>
          <w:i/>
          <w:sz w:val="18"/>
        </w:rPr>
        <w:t>R_final = 0.6 x R_network + 0.4 x R_user   (1)</w:t>
      </w:r>
    </w:p>
    <w:tbl>
      <w:tblPr>
        <w:tblStyle w:val="TableGrid"/>
        <w:tblW w:type="auto" w:w="0"/>
        <w:jc w:val="center"/>
        <w:tblLook w:firstColumn="1" w:firstRow="1" w:lastColumn="0" w:lastRow="0" w:noHBand="0" w:noVBand="1" w:val="04A0"/>
      </w:tblPr>
      <w:tblGrid>
        <w:gridCol w:w="3419"/>
        <w:gridCol w:w="3419"/>
        <w:gridCol w:w="3419"/>
      </w:tblGrid>
      <w:tr>
        <w:tc>
          <w:tcPr>
            <w:tcW w:type="dxa" w:w="3419"/>
          </w:tcPr>
          <w:p>
            <w:pPr>
              <w:spacing w:before="0" w:after="0" w:line="240" w:lineRule="auto"/>
              <w:jc w:val="center"/>
            </w:pPr>
            <w:r>
              <w:rPr>
                <w:rFonts w:ascii="Times New Roman" w:hAnsi="Times New Roman"/>
                <w:b/>
                <w:i w:val="0"/>
                <w:sz w:val="16"/>
              </w:rPr>
              <w:t>Risk</w:t>
            </w:r>
          </w:p>
        </w:tc>
        <w:tc>
          <w:tcPr>
            <w:tcW w:type="dxa" w:w="3419"/>
          </w:tcPr>
          <w:p>
            <w:pPr>
              <w:spacing w:before="0" w:after="0" w:line="240" w:lineRule="auto"/>
              <w:jc w:val="center"/>
            </w:pPr>
            <w:r>
              <w:rPr>
                <w:rFonts w:ascii="Times New Roman" w:hAnsi="Times New Roman"/>
                <w:b/>
                <w:i w:val="0"/>
                <w:sz w:val="16"/>
              </w:rPr>
              <w:t>Level</w:t>
            </w:r>
          </w:p>
        </w:tc>
        <w:tc>
          <w:tcPr>
            <w:tcW w:type="dxa" w:w="3419"/>
          </w:tcPr>
          <w:p>
            <w:pPr>
              <w:spacing w:before="0" w:after="0" w:line="240" w:lineRule="auto"/>
              <w:jc w:val="center"/>
            </w:pPr>
            <w:r>
              <w:rPr>
                <w:rFonts w:ascii="Times New Roman" w:hAnsi="Times New Roman"/>
                <w:b/>
                <w:i w:val="0"/>
                <w:sz w:val="16"/>
              </w:rPr>
              <w:t>Action</w:t>
            </w:r>
          </w:p>
        </w:tc>
      </w:tr>
      <w:tr>
        <w:tc>
          <w:tcPr>
            <w:tcW w:type="dxa" w:w="3419"/>
          </w:tcPr>
          <w:p>
            <w:pPr>
              <w:spacing w:before="0" w:after="0" w:line="240" w:lineRule="auto"/>
              <w:jc w:val="center"/>
            </w:pPr>
            <w:r>
              <w:rPr>
                <w:rFonts w:ascii="Times New Roman" w:hAnsi="Times New Roman"/>
                <w:b w:val="0"/>
                <w:i w:val="0"/>
                <w:sz w:val="16"/>
              </w:rPr>
              <w:t>&lt; 0.40</w:t>
            </w:r>
          </w:p>
        </w:tc>
        <w:tc>
          <w:tcPr>
            <w:tcW w:type="dxa" w:w="3419"/>
          </w:tcPr>
          <w:p>
            <w:pPr>
              <w:spacing w:before="0" w:after="0" w:line="240" w:lineRule="auto"/>
              <w:jc w:val="center"/>
            </w:pPr>
            <w:r>
              <w:rPr>
                <w:rFonts w:ascii="Times New Roman" w:hAnsi="Times New Roman"/>
                <w:b w:val="0"/>
                <w:i w:val="0"/>
                <w:sz w:val="16"/>
              </w:rPr>
              <w:t>LOW</w:t>
            </w:r>
          </w:p>
        </w:tc>
        <w:tc>
          <w:tcPr>
            <w:tcW w:type="dxa" w:w="3419"/>
          </w:tcPr>
          <w:p>
            <w:pPr>
              <w:spacing w:before="0" w:after="0" w:line="240" w:lineRule="auto"/>
              <w:jc w:val="center"/>
            </w:pPr>
            <w:r>
              <w:rPr>
                <w:rFonts w:ascii="Times New Roman" w:hAnsi="Times New Roman"/>
                <w:b w:val="0"/>
                <w:i w:val="0"/>
                <w:sz w:val="16"/>
              </w:rPr>
              <w:t>LOG</w:t>
            </w:r>
          </w:p>
        </w:tc>
      </w:tr>
      <w:tr>
        <w:tc>
          <w:tcPr>
            <w:tcW w:type="dxa" w:w="3419"/>
          </w:tcPr>
          <w:p>
            <w:pPr>
              <w:spacing w:before="0" w:after="0" w:line="240" w:lineRule="auto"/>
              <w:jc w:val="center"/>
            </w:pPr>
            <w:r>
              <w:rPr>
                <w:rFonts w:ascii="Times New Roman" w:hAnsi="Times New Roman"/>
                <w:b w:val="0"/>
                <w:i w:val="0"/>
                <w:sz w:val="16"/>
              </w:rPr>
              <w:t>0.40-0.60</w:t>
            </w:r>
          </w:p>
        </w:tc>
        <w:tc>
          <w:tcPr>
            <w:tcW w:type="dxa" w:w="3419"/>
          </w:tcPr>
          <w:p>
            <w:pPr>
              <w:spacing w:before="0" w:after="0" w:line="240" w:lineRule="auto"/>
              <w:jc w:val="center"/>
            </w:pPr>
            <w:r>
              <w:rPr>
                <w:rFonts w:ascii="Times New Roman" w:hAnsi="Times New Roman"/>
                <w:b w:val="0"/>
                <w:i w:val="0"/>
                <w:sz w:val="16"/>
              </w:rPr>
              <w:t>MED</w:t>
            </w:r>
          </w:p>
        </w:tc>
        <w:tc>
          <w:tcPr>
            <w:tcW w:type="dxa" w:w="3419"/>
          </w:tcPr>
          <w:p>
            <w:pPr>
              <w:spacing w:before="0" w:after="0" w:line="240" w:lineRule="auto"/>
              <w:jc w:val="center"/>
            </w:pPr>
            <w:r>
              <w:rPr>
                <w:rFonts w:ascii="Times New Roman" w:hAnsi="Times New Roman"/>
                <w:b w:val="0"/>
                <w:i w:val="0"/>
                <w:sz w:val="16"/>
              </w:rPr>
              <w:t>ALERT</w:t>
            </w:r>
          </w:p>
        </w:tc>
      </w:tr>
      <w:tr>
        <w:tc>
          <w:tcPr>
            <w:tcW w:type="dxa" w:w="3419"/>
          </w:tcPr>
          <w:p>
            <w:pPr>
              <w:spacing w:before="0" w:after="0" w:line="240" w:lineRule="auto"/>
              <w:jc w:val="center"/>
            </w:pPr>
            <w:r>
              <w:rPr>
                <w:rFonts w:ascii="Times New Roman" w:hAnsi="Times New Roman"/>
                <w:b w:val="0"/>
                <w:i w:val="0"/>
                <w:sz w:val="16"/>
              </w:rPr>
              <w:t>0.60-0.80</w:t>
            </w:r>
          </w:p>
        </w:tc>
        <w:tc>
          <w:tcPr>
            <w:tcW w:type="dxa" w:w="3419"/>
          </w:tcPr>
          <w:p>
            <w:pPr>
              <w:spacing w:before="0" w:after="0" w:line="240" w:lineRule="auto"/>
              <w:jc w:val="center"/>
            </w:pPr>
            <w:r>
              <w:rPr>
                <w:rFonts w:ascii="Times New Roman" w:hAnsi="Times New Roman"/>
                <w:b w:val="0"/>
                <w:i w:val="0"/>
                <w:sz w:val="16"/>
              </w:rPr>
              <w:t>HIGH</w:t>
            </w:r>
          </w:p>
        </w:tc>
        <w:tc>
          <w:tcPr>
            <w:tcW w:type="dxa" w:w="3419"/>
          </w:tcPr>
          <w:p>
            <w:pPr>
              <w:spacing w:before="0" w:after="0" w:line="240" w:lineRule="auto"/>
              <w:jc w:val="center"/>
            </w:pPr>
            <w:r>
              <w:rPr>
                <w:rFonts w:ascii="Times New Roman" w:hAnsi="Times New Roman"/>
                <w:b w:val="0"/>
                <w:i w:val="0"/>
                <w:sz w:val="16"/>
              </w:rPr>
              <w:t>RATE_LIMIT</w:t>
            </w:r>
          </w:p>
        </w:tc>
      </w:tr>
      <w:tr>
        <w:tc>
          <w:tcPr>
            <w:tcW w:type="dxa" w:w="3419"/>
          </w:tcPr>
          <w:p>
            <w:pPr>
              <w:spacing w:before="0" w:after="0" w:line="240" w:lineRule="auto"/>
              <w:jc w:val="center"/>
            </w:pPr>
            <w:r>
              <w:rPr>
                <w:rFonts w:ascii="Times New Roman" w:hAnsi="Times New Roman"/>
                <w:b w:val="0"/>
                <w:i w:val="0"/>
                <w:sz w:val="16"/>
              </w:rPr>
              <w:t>&gt;= 0.80</w:t>
            </w:r>
          </w:p>
        </w:tc>
        <w:tc>
          <w:tcPr>
            <w:tcW w:type="dxa" w:w="3419"/>
          </w:tcPr>
          <w:p>
            <w:pPr>
              <w:spacing w:before="0" w:after="0" w:line="240" w:lineRule="auto"/>
              <w:jc w:val="center"/>
            </w:pPr>
            <w:r>
              <w:rPr>
                <w:rFonts w:ascii="Times New Roman" w:hAnsi="Times New Roman"/>
                <w:b w:val="0"/>
                <w:i w:val="0"/>
                <w:sz w:val="16"/>
              </w:rPr>
              <w:t>CRIT</w:t>
            </w:r>
          </w:p>
        </w:tc>
        <w:tc>
          <w:tcPr>
            <w:tcW w:type="dxa" w:w="3419"/>
          </w:tcPr>
          <w:p>
            <w:pPr>
              <w:spacing w:before="0" w:after="0" w:line="240" w:lineRule="auto"/>
              <w:jc w:val="center"/>
            </w:pPr>
            <w:r>
              <w:rPr>
                <w:rFonts w:ascii="Times New Roman" w:hAnsi="Times New Roman"/>
                <w:b w:val="0"/>
                <w:i w:val="0"/>
                <w:sz w:val="16"/>
              </w:rPr>
              <w:t>BLOCK</w:t>
            </w:r>
          </w:p>
        </w:tc>
      </w:tr>
    </w:tbl>
    <w:p>
      <w:pPr>
        <w:spacing w:before="0" w:after="40" w:line="240" w:lineRule="auto"/>
        <w:jc w:val="center"/>
      </w:pPr>
      <w:r>
        <w:rPr>
          <w:rFonts w:ascii="Times New Roman" w:hAnsi="Times New Roman"/>
          <w:b w:val="0"/>
          <w:i/>
          <w:sz w:val="16"/>
        </w:rPr>
        <w:t>TABLE I. Graduated response thresholds</w:t>
      </w:r>
    </w:p>
    <w:p>
      <w:pPr>
        <w:spacing w:before="40" w:after="20" w:line="240" w:lineRule="auto"/>
        <w:jc w:val="left"/>
      </w:pPr>
      <w:r>
        <w:rPr>
          <w:rFonts w:ascii="Times New Roman" w:hAnsi="Times New Roman"/>
          <w:b w:val="0"/>
          <w:i/>
          <w:sz w:val="20"/>
        </w:rPr>
        <w:t>B. Agentic ReAct Decision Layer</w:t>
      </w:r>
    </w:p>
    <w:p>
      <w:pPr>
        <w:spacing w:before="0" w:after="40" w:line="240" w:lineRule="auto"/>
        <w:ind w:firstLine="198"/>
        <w:jc w:val="both"/>
      </w:pPr>
      <w:r>
        <w:rPr>
          <w:rFonts w:ascii="Times New Roman" w:hAnsi="Times New Roman"/>
          <w:b w:val="0"/>
          <w:i w:val="0"/>
          <w:sz w:val="20"/>
        </w:rPr>
        <w:t>The AI layer follows an Observe-Think-Act-Decide loop. It can call whitelisted tools such as IP reputation checks, recent attack history, and baseline drift lookups before selecting an action. Decision metadata is persisted to SQLite for auditability and feedback-driven tuning.</w:t>
      </w:r>
    </w:p>
    <w:p>
      <w:pPr>
        <w:spacing w:before="80" w:after="40" w:line="240" w:lineRule="auto"/>
        <w:jc w:val="center"/>
      </w:pPr>
      <w:r>
        <w:rPr>
          <w:rFonts w:ascii="Times New Roman" w:hAnsi="Times New Roman"/>
          <w:b/>
          <w:i w:val="0"/>
          <w:sz w:val="20"/>
        </w:rPr>
        <w:t>III. IMPLEMENTATION</w:t>
      </w:r>
    </w:p>
    <w:p>
      <w:pPr>
        <w:spacing w:before="0" w:after="40" w:line="240" w:lineRule="auto"/>
        <w:ind w:firstLine="198"/>
        <w:jc w:val="both"/>
      </w:pPr>
      <w:r>
        <w:rPr>
          <w:rFonts w:ascii="Times New Roman" w:hAnsi="Times New Roman"/>
          <w:b w:val="0"/>
          <w:i w:val="0"/>
          <w:sz w:val="20"/>
        </w:rPr>
        <w:t>The prototype is implemented in Python using scikit-learn Isolation Forest for IDS/UEBA models, AWS CloudWatch and CloudTrail telemetry ingestion, and a local Ollama-hosted LLM for private inference. Response execution supports log-only, alerting, rate-limiting, and deny-rule automation.</w:t>
      </w:r>
    </w:p>
    <w:p>
      <w:pPr>
        <w:spacing w:before="80" w:after="40" w:line="240" w:lineRule="auto"/>
        <w:jc w:val="center"/>
      </w:pPr>
      <w:r>
        <w:rPr>
          <w:rFonts w:ascii="Times New Roman" w:hAnsi="Times New Roman"/>
          <w:b/>
          <w:i w:val="0"/>
          <w:sz w:val="20"/>
        </w:rPr>
        <w:t>IV. RESULTS</w:t>
      </w:r>
    </w:p>
    <w:tbl>
      <w:tblPr>
        <w:tblStyle w:val="TableGrid"/>
        <w:tblW w:type="auto" w:w="0"/>
        <w:jc w:val="center"/>
        <w:tblLook w:firstColumn="1" w:firstRow="1" w:lastColumn="0" w:lastRow="0" w:noHBand="0" w:noVBand="1" w:val="04A0"/>
      </w:tblPr>
      <w:tblGrid>
        <w:gridCol w:w="2564"/>
        <w:gridCol w:w="2564"/>
        <w:gridCol w:w="2564"/>
        <w:gridCol w:w="2564"/>
      </w:tblGrid>
      <w:tr>
        <w:tc>
          <w:tcPr>
            <w:tcW w:type="dxa" w:w="2564"/>
          </w:tcPr>
          <w:p>
            <w:pPr>
              <w:spacing w:before="0" w:after="0" w:line="240" w:lineRule="auto"/>
              <w:jc w:val="center"/>
            </w:pPr>
            <w:r>
              <w:rPr>
                <w:rFonts w:ascii="Times New Roman" w:hAnsi="Times New Roman"/>
                <w:b/>
                <w:i w:val="0"/>
                <w:sz w:val="16"/>
              </w:rPr>
              <w:t>Scenario</w:t>
            </w:r>
          </w:p>
        </w:tc>
        <w:tc>
          <w:tcPr>
            <w:tcW w:type="dxa" w:w="2564"/>
          </w:tcPr>
          <w:p>
            <w:pPr>
              <w:spacing w:before="0" w:after="0" w:line="240" w:lineRule="auto"/>
              <w:jc w:val="center"/>
            </w:pPr>
            <w:r>
              <w:rPr>
                <w:rFonts w:ascii="Times New Roman" w:hAnsi="Times New Roman"/>
                <w:b/>
                <w:i w:val="0"/>
                <w:sz w:val="16"/>
              </w:rPr>
              <w:t>Risk (N/U)</w:t>
            </w:r>
          </w:p>
        </w:tc>
        <w:tc>
          <w:tcPr>
            <w:tcW w:type="dxa" w:w="2564"/>
          </w:tcPr>
          <w:p>
            <w:pPr>
              <w:spacing w:before="0" w:after="0" w:line="240" w:lineRule="auto"/>
              <w:jc w:val="center"/>
            </w:pPr>
            <w:r>
              <w:rPr>
                <w:rFonts w:ascii="Times New Roman" w:hAnsi="Times New Roman"/>
                <w:b/>
                <w:i w:val="0"/>
                <w:sz w:val="16"/>
              </w:rPr>
              <w:t>Fused</w:t>
            </w:r>
          </w:p>
        </w:tc>
        <w:tc>
          <w:tcPr>
            <w:tcW w:type="dxa" w:w="2564"/>
          </w:tcPr>
          <w:p>
            <w:pPr>
              <w:spacing w:before="0" w:after="0" w:line="240" w:lineRule="auto"/>
              <w:jc w:val="center"/>
            </w:pPr>
            <w:r>
              <w:rPr>
                <w:rFonts w:ascii="Times New Roman" w:hAnsi="Times New Roman"/>
                <w:b/>
                <w:i w:val="0"/>
                <w:sz w:val="16"/>
              </w:rPr>
              <w:t>Output</w:t>
            </w:r>
          </w:p>
        </w:tc>
      </w:tr>
      <w:tr>
        <w:tc>
          <w:tcPr>
            <w:tcW w:type="dxa" w:w="2564"/>
          </w:tcPr>
          <w:p>
            <w:pPr>
              <w:spacing w:before="0" w:after="0" w:line="240" w:lineRule="auto"/>
              <w:jc w:val="center"/>
            </w:pPr>
            <w:r>
              <w:rPr>
                <w:rFonts w:ascii="Times New Roman" w:hAnsi="Times New Roman"/>
                <w:b w:val="0"/>
                <w:i w:val="0"/>
                <w:sz w:val="16"/>
              </w:rPr>
              <w:t>Normal</w:t>
            </w:r>
          </w:p>
        </w:tc>
        <w:tc>
          <w:tcPr>
            <w:tcW w:type="dxa" w:w="2564"/>
          </w:tcPr>
          <w:p>
            <w:pPr>
              <w:spacing w:before="0" w:after="0" w:line="240" w:lineRule="auto"/>
              <w:jc w:val="center"/>
            </w:pPr>
            <w:r>
              <w:rPr>
                <w:rFonts w:ascii="Times New Roman" w:hAnsi="Times New Roman"/>
                <w:b w:val="0"/>
                <w:i w:val="0"/>
                <w:sz w:val="16"/>
              </w:rPr>
              <w:t>0.05/0.10</w:t>
            </w:r>
          </w:p>
        </w:tc>
        <w:tc>
          <w:tcPr>
            <w:tcW w:type="dxa" w:w="2564"/>
          </w:tcPr>
          <w:p>
            <w:pPr>
              <w:spacing w:before="0" w:after="0" w:line="240" w:lineRule="auto"/>
              <w:jc w:val="center"/>
            </w:pPr>
            <w:r>
              <w:rPr>
                <w:rFonts w:ascii="Times New Roman" w:hAnsi="Times New Roman"/>
                <w:b w:val="0"/>
                <w:i w:val="0"/>
                <w:sz w:val="16"/>
              </w:rPr>
              <w:t>0.07</w:t>
            </w:r>
          </w:p>
        </w:tc>
        <w:tc>
          <w:tcPr>
            <w:tcW w:type="dxa" w:w="2564"/>
          </w:tcPr>
          <w:p>
            <w:pPr>
              <w:spacing w:before="0" w:after="0" w:line="240" w:lineRule="auto"/>
              <w:jc w:val="center"/>
            </w:pPr>
            <w:r>
              <w:rPr>
                <w:rFonts w:ascii="Times New Roman" w:hAnsi="Times New Roman"/>
                <w:b w:val="0"/>
                <w:i w:val="0"/>
                <w:sz w:val="16"/>
              </w:rPr>
              <w:t>LOG</w:t>
            </w:r>
          </w:p>
        </w:tc>
      </w:tr>
      <w:tr>
        <w:tc>
          <w:tcPr>
            <w:tcW w:type="dxa" w:w="2564"/>
          </w:tcPr>
          <w:p>
            <w:pPr>
              <w:spacing w:before="0" w:after="0" w:line="240" w:lineRule="auto"/>
              <w:jc w:val="center"/>
            </w:pPr>
            <w:r>
              <w:rPr>
                <w:rFonts w:ascii="Times New Roman" w:hAnsi="Times New Roman"/>
                <w:b w:val="0"/>
                <w:i w:val="0"/>
                <w:sz w:val="16"/>
              </w:rPr>
              <w:t>Suspicious</w:t>
            </w:r>
          </w:p>
        </w:tc>
        <w:tc>
          <w:tcPr>
            <w:tcW w:type="dxa" w:w="2564"/>
          </w:tcPr>
          <w:p>
            <w:pPr>
              <w:spacing w:before="0" w:after="0" w:line="240" w:lineRule="auto"/>
              <w:jc w:val="center"/>
            </w:pPr>
            <w:r>
              <w:rPr>
                <w:rFonts w:ascii="Times New Roman" w:hAnsi="Times New Roman"/>
                <w:b w:val="0"/>
                <w:i w:val="0"/>
                <w:sz w:val="16"/>
              </w:rPr>
              <w:t>0.50/0.40</w:t>
            </w:r>
          </w:p>
        </w:tc>
        <w:tc>
          <w:tcPr>
            <w:tcW w:type="dxa" w:w="2564"/>
          </w:tcPr>
          <w:p>
            <w:pPr>
              <w:spacing w:before="0" w:after="0" w:line="240" w:lineRule="auto"/>
              <w:jc w:val="center"/>
            </w:pPr>
            <w:r>
              <w:rPr>
                <w:rFonts w:ascii="Times New Roman" w:hAnsi="Times New Roman"/>
                <w:b w:val="0"/>
                <w:i w:val="0"/>
                <w:sz w:val="16"/>
              </w:rPr>
              <w:t>0.46</w:t>
            </w:r>
          </w:p>
        </w:tc>
        <w:tc>
          <w:tcPr>
            <w:tcW w:type="dxa" w:w="2564"/>
          </w:tcPr>
          <w:p>
            <w:pPr>
              <w:spacing w:before="0" w:after="0" w:line="240" w:lineRule="auto"/>
              <w:jc w:val="center"/>
            </w:pPr>
            <w:r>
              <w:rPr>
                <w:rFonts w:ascii="Times New Roman" w:hAnsi="Times New Roman"/>
                <w:b w:val="0"/>
                <w:i w:val="0"/>
                <w:sz w:val="16"/>
              </w:rPr>
              <w:t>ALERT</w:t>
            </w:r>
          </w:p>
        </w:tc>
      </w:tr>
      <w:tr>
        <w:tc>
          <w:tcPr>
            <w:tcW w:type="dxa" w:w="2564"/>
          </w:tcPr>
          <w:p>
            <w:pPr>
              <w:spacing w:before="0" w:after="0" w:line="240" w:lineRule="auto"/>
              <w:jc w:val="center"/>
            </w:pPr>
            <w:r>
              <w:rPr>
                <w:rFonts w:ascii="Times New Roman" w:hAnsi="Times New Roman"/>
                <w:b w:val="0"/>
                <w:i w:val="0"/>
                <w:sz w:val="16"/>
              </w:rPr>
              <w:t>DDoS</w:t>
            </w:r>
          </w:p>
        </w:tc>
        <w:tc>
          <w:tcPr>
            <w:tcW w:type="dxa" w:w="2564"/>
          </w:tcPr>
          <w:p>
            <w:pPr>
              <w:spacing w:before="0" w:after="0" w:line="240" w:lineRule="auto"/>
              <w:jc w:val="center"/>
            </w:pPr>
            <w:r>
              <w:rPr>
                <w:rFonts w:ascii="Times New Roman" w:hAnsi="Times New Roman"/>
                <w:b w:val="0"/>
                <w:i w:val="0"/>
                <w:sz w:val="16"/>
              </w:rPr>
              <w:t>0.95/0.10</w:t>
            </w:r>
          </w:p>
        </w:tc>
        <w:tc>
          <w:tcPr>
            <w:tcW w:type="dxa" w:w="2564"/>
          </w:tcPr>
          <w:p>
            <w:pPr>
              <w:spacing w:before="0" w:after="0" w:line="240" w:lineRule="auto"/>
              <w:jc w:val="center"/>
            </w:pPr>
            <w:r>
              <w:rPr>
                <w:rFonts w:ascii="Times New Roman" w:hAnsi="Times New Roman"/>
                <w:b w:val="0"/>
                <w:i w:val="0"/>
                <w:sz w:val="16"/>
              </w:rPr>
              <w:t>0.61</w:t>
            </w:r>
          </w:p>
        </w:tc>
        <w:tc>
          <w:tcPr>
            <w:tcW w:type="dxa" w:w="2564"/>
          </w:tcPr>
          <w:p>
            <w:pPr>
              <w:spacing w:before="0" w:after="0" w:line="240" w:lineRule="auto"/>
              <w:jc w:val="center"/>
            </w:pPr>
            <w:r>
              <w:rPr>
                <w:rFonts w:ascii="Times New Roman" w:hAnsi="Times New Roman"/>
                <w:b w:val="0"/>
                <w:i w:val="0"/>
                <w:sz w:val="16"/>
              </w:rPr>
              <w:t>RATE_LIMIT</w:t>
            </w:r>
          </w:p>
        </w:tc>
      </w:tr>
      <w:tr>
        <w:tc>
          <w:tcPr>
            <w:tcW w:type="dxa" w:w="2564"/>
          </w:tcPr>
          <w:p>
            <w:pPr>
              <w:spacing w:before="0" w:after="0" w:line="240" w:lineRule="auto"/>
              <w:jc w:val="center"/>
            </w:pPr>
            <w:r>
              <w:rPr>
                <w:rFonts w:ascii="Times New Roman" w:hAnsi="Times New Roman"/>
                <w:b w:val="0"/>
                <w:i w:val="0"/>
                <w:sz w:val="16"/>
              </w:rPr>
              <w:t>Compromised</w:t>
            </w:r>
          </w:p>
        </w:tc>
        <w:tc>
          <w:tcPr>
            <w:tcW w:type="dxa" w:w="2564"/>
          </w:tcPr>
          <w:p>
            <w:pPr>
              <w:spacing w:before="0" w:after="0" w:line="240" w:lineRule="auto"/>
              <w:jc w:val="center"/>
            </w:pPr>
            <w:r>
              <w:rPr>
                <w:rFonts w:ascii="Times New Roman" w:hAnsi="Times New Roman"/>
                <w:b w:val="0"/>
                <w:i w:val="0"/>
                <w:sz w:val="16"/>
              </w:rPr>
              <w:t>0.95/0.90</w:t>
            </w:r>
          </w:p>
        </w:tc>
        <w:tc>
          <w:tcPr>
            <w:tcW w:type="dxa" w:w="2564"/>
          </w:tcPr>
          <w:p>
            <w:pPr>
              <w:spacing w:before="0" w:after="0" w:line="240" w:lineRule="auto"/>
              <w:jc w:val="center"/>
            </w:pPr>
            <w:r>
              <w:rPr>
                <w:rFonts w:ascii="Times New Roman" w:hAnsi="Times New Roman"/>
                <w:b w:val="0"/>
                <w:i w:val="0"/>
                <w:sz w:val="16"/>
              </w:rPr>
              <w:t>0.93</w:t>
            </w:r>
          </w:p>
        </w:tc>
        <w:tc>
          <w:tcPr>
            <w:tcW w:type="dxa" w:w="2564"/>
          </w:tcPr>
          <w:p>
            <w:pPr>
              <w:spacing w:before="0" w:after="0" w:line="240" w:lineRule="auto"/>
              <w:jc w:val="center"/>
            </w:pPr>
            <w:r>
              <w:rPr>
                <w:rFonts w:ascii="Times New Roman" w:hAnsi="Times New Roman"/>
                <w:b w:val="0"/>
                <w:i w:val="0"/>
                <w:sz w:val="16"/>
              </w:rPr>
              <w:t>BLOCK</w:t>
            </w:r>
          </w:p>
        </w:tc>
      </w:tr>
    </w:tbl>
    <w:p>
      <w:pPr>
        <w:spacing w:before="0" w:after="40" w:line="240" w:lineRule="auto"/>
        <w:jc w:val="center"/>
      </w:pPr>
      <w:r>
        <w:rPr>
          <w:rFonts w:ascii="Times New Roman" w:hAnsi="Times New Roman"/>
          <w:b w:val="0"/>
          <w:i/>
          <w:sz w:val="16"/>
        </w:rPr>
        <w:t>TABLE II. Scenario outcomes (4/4 matched)</w:t>
      </w:r>
    </w:p>
    <w:p>
      <w:pPr>
        <w:spacing w:before="0" w:after="40" w:line="240" w:lineRule="auto"/>
        <w:ind w:firstLine="198"/>
        <w:jc w:val="both"/>
      </w:pPr>
      <w:r>
        <w:rPr>
          <w:rFonts w:ascii="Times New Roman" w:hAnsi="Times New Roman"/>
          <w:b w:val="0"/>
          <w:i w:val="0"/>
          <w:sz w:val="20"/>
        </w:rPr>
        <w:t>Across controlled tests, the fused model and agentic policy selected the expected response tier in all four benchmark cases. In practical deployment, future evaluation should include larger traffic diversity and longer temporal drift windows to validate robustness.</w:t>
      </w:r>
    </w:p>
    <w:p>
      <w:pPr>
        <w:spacing w:before="80" w:after="40" w:line="240" w:lineRule="auto"/>
        <w:jc w:val="center"/>
      </w:pPr>
      <w:r>
        <w:rPr>
          <w:rFonts w:ascii="Times New Roman" w:hAnsi="Times New Roman"/>
          <w:b/>
          <w:i w:val="0"/>
          <w:sz w:val="20"/>
        </w:rPr>
        <w:t>V. CONCLUSION</w:t>
      </w:r>
    </w:p>
    <w:p>
      <w:pPr>
        <w:spacing w:before="0" w:after="40" w:line="240" w:lineRule="auto"/>
        <w:ind w:firstLine="198"/>
        <w:jc w:val="both"/>
      </w:pPr>
      <w:r>
        <w:rPr>
          <w:rFonts w:ascii="Times New Roman" w:hAnsi="Times New Roman"/>
          <w:b w:val="0"/>
          <w:i w:val="0"/>
          <w:sz w:val="20"/>
        </w:rPr>
        <w:t>A compact hybrid IDS+UEBA pipeline with Agentic AI can provide explainable and autonomous response without external API dependency. The weighted fusion backbone improves contextual threat scoring, while the ReAct layer improves operator transparency and decision traceability.</w:t>
      </w:r>
    </w:p>
    <w:p>
      <w:pPr>
        <w:spacing w:before="80" w:after="40" w:line="240" w:lineRule="auto"/>
        <w:jc w:val="center"/>
      </w:pPr>
      <w:r>
        <w:rPr>
          <w:rFonts w:ascii="Times New Roman" w:hAnsi="Times New Roman"/>
          <w:b/>
          <w:i w:val="0"/>
          <w:sz w:val="20"/>
        </w:rPr>
        <w:t>REFERENCES</w:t>
      </w:r>
    </w:p>
    <w:p>
      <w:pPr>
        <w:spacing w:before="0" w:after="20" w:line="240" w:lineRule="auto"/>
        <w:ind w:left="255" w:hanging="198"/>
        <w:jc w:val="left"/>
      </w:pPr>
      <w:r>
        <w:rPr>
          <w:rFonts w:ascii="Times New Roman" w:hAnsi="Times New Roman"/>
          <w:b w:val="0"/>
          <w:i w:val="0"/>
          <w:sz w:val="16"/>
        </w:rPr>
        <w:t>[1] F. T. Liu, K. M. Ting, and Z.-H. Zhou, "Isolation Forest," Proc. IEEE ICDM, 2008.</w:t>
      </w:r>
    </w:p>
    <w:p>
      <w:pPr>
        <w:spacing w:before="0" w:after="20" w:line="240" w:lineRule="auto"/>
        <w:ind w:left="255" w:hanging="198"/>
        <w:jc w:val="left"/>
      </w:pPr>
      <w:r>
        <w:rPr>
          <w:rFonts w:ascii="Times New Roman" w:hAnsi="Times New Roman"/>
          <w:b w:val="0"/>
          <w:i w:val="0"/>
          <w:sz w:val="16"/>
        </w:rPr>
        <w:t>[2] S. Yao et al., "ReAct: Synergizing Reasoning and Acting in Language Models," ICLR, 2023.</w:t>
      </w:r>
    </w:p>
    <w:p>
      <w:pPr>
        <w:spacing w:before="0" w:after="20" w:line="240" w:lineRule="auto"/>
        <w:ind w:left="255" w:hanging="198"/>
        <w:jc w:val="left"/>
      </w:pPr>
      <w:r>
        <w:rPr>
          <w:rFonts w:ascii="Times New Roman" w:hAnsi="Times New Roman"/>
          <w:b w:val="0"/>
          <w:i w:val="0"/>
          <w:sz w:val="16"/>
        </w:rPr>
        <w:t>[3] S. Baral, S. Saha, and A. Haque, "Autonomous Cyber Incident Response Using Reasoning and Action," IEEE IWCMC, 2025.</w:t>
      </w:r>
    </w:p>
    <w:p>
      <w:pPr>
        <w:spacing w:before="0" w:after="20" w:line="240" w:lineRule="auto"/>
        <w:ind w:left="255" w:hanging="198"/>
        <w:jc w:val="left"/>
      </w:pPr>
      <w:r>
        <w:rPr>
          <w:rFonts w:ascii="Times New Roman" w:hAnsi="Times New Roman"/>
          <w:b w:val="0"/>
          <w:i w:val="0"/>
          <w:sz w:val="16"/>
        </w:rPr>
        <w:t>[4] X. Lin, G. Avina, and J. Santoyo, "Reducing False Alerts in Cybersecurity Threat Detection Using Generative AI," 2025.</w:t>
      </w:r>
    </w:p>
    <w:p>
      <w:pPr>
        <w:spacing w:before="0" w:after="20" w:line="240" w:lineRule="auto"/>
        <w:ind w:left="255" w:hanging="198"/>
        <w:jc w:val="left"/>
      </w:pPr>
      <w:r>
        <w:rPr>
          <w:rFonts w:ascii="Times New Roman" w:hAnsi="Times New Roman"/>
          <w:b w:val="0"/>
          <w:i w:val="0"/>
          <w:sz w:val="16"/>
        </w:rPr>
        <w:t>[5] C. Djidjev, "siForest: Detecting Network Anomalies with Set-Structured Isolation Forest," arXiv, 2025.</w:t>
      </w:r>
    </w:p>
    <w:p>
      <w:pPr>
        <w:spacing w:before="0" w:after="20" w:line="240" w:lineRule="auto"/>
        <w:ind w:left="255" w:hanging="198"/>
        <w:jc w:val="left"/>
      </w:pPr>
      <w:r>
        <w:rPr>
          <w:rFonts w:ascii="Times New Roman" w:hAnsi="Times New Roman"/>
          <w:b w:val="0"/>
          <w:i w:val="0"/>
          <w:sz w:val="16"/>
        </w:rPr>
        <w:t>[6] S. Zehra et al., "DeSFAM: AI-Driven Framework for Securing Cloud Containers," IEEE Access, 2025.</w:t>
      </w:r>
    </w:p>
    <w:sectPr w:rsidR="00FC693F" w:rsidRPr="0006063C" w:rsidSect="00034616">
      <w:type w:val="continuous"/>
      <w:pgSz w:w="12240" w:h="15840"/>
      <w:pgMar w:top="1077" w:right="992" w:bottom="1440" w:left="992" w:header="720" w:footer="720" w:gutter="0"/>
      <w:cols w:space="30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