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/>
          <w:b/>
          <w:color w:val="000050"/>
          <w:sz w:val="44"/>
        </w:rPr>
        <w:t>Photon Scattering Density (PSD)</w:t>
      </w:r>
    </w:p>
    <w:p>
      <w:pPr>
        <w:jc w:val="center"/>
      </w:pPr>
      <w:r>
        <w:rPr>
          <w:rFonts w:ascii="Times New Roman" w:hAnsi="Times New Roman"/>
          <w:i/>
          <w:color w:val="505050"/>
          <w:sz w:val="28"/>
        </w:rPr>
        <w:t>Complete Calculation Methodology, Verification,</w:t>
        <w:br/>
        <w:t>and Paper-Acceptable Description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2"/>
        </w:rPr>
        <w:t>In support of the manuscript: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sz w:val="24"/>
        </w:rPr>
        <w:t>"A Novel PSD-Based Approach for Correlating XRD-Derived Phase Evolution</w:t>
        <w:br/>
        <w:t>and Strength Development in Alkali-Activated Mortars"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0"/>
        </w:rPr>
        <w:t>Pratik Kanungo, Anush K. Chandrappa, Dinakar Pasla</w:t>
        <w:br/>
        <w:t>School of Infrastructure, IIT Bhubaneswar, Odisha, 752050, India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i/>
          <w:color w:val="787878"/>
          <w:sz w:val="20"/>
        </w:rPr>
        <w:t>Computed &amp; Verified: 29 July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Table of Contents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1. Data Provenance and Input Verification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2. Step-by-Step Calculation — L03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3. Complete Derivation for All 9 Mixes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4. Final PSD Tables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5. Internal Consistency Verification (9/9 Checks)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6. Parameter Sensitivity Analysis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7. Independent Cross-Validation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8. Why Total PSD Fails — Mathematical Proof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9. Strength-PSD Correlation Matrix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10. NASH/CASH Gel Partition Analysis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11. Paper-Acceptable Methodology Description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12. Limitations and Recommendations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13. Reproducibility Statement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1. Data Provenance and Input Verification</w:t>
      </w:r>
    </w:p>
    <w:p>
      <w:pPr>
        <w:spacing w:after="120"/>
      </w:pPr>
      <w:r>
        <w:rPr>
          <w:rFonts w:ascii="Times New Roman" w:hAnsi="Times New Roman"/>
          <w:b/>
          <w:i w:val="0"/>
          <w:sz w:val="24"/>
        </w:rPr>
        <w:t>1.1 Source of All Input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2268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402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Crystalline PSD (Q, M, C)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Tables 11 &amp; 13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MEASURED — XRD via OriginPro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Compressive Strength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Table 15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MEASURED — per IS 4031-Part 6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EDS Chemistry (Na/Al, Ca/Si)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Table 14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MEASURED — SEM-EDS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Mix parameters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Table 4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DESIGNED — Taguchi L9 OA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NASH PSD anchor (L04=3228)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Paragraph 197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MEASURED — amorphous hump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 w:val="0"/>
          <w:i/>
          <w:sz w:val="20"/>
        </w:rPr>
        <w:t>All 18 crystalline PSD sums independently recomputed. All matched. Data integrity confirmed.</w:t>
      </w:r>
    </w:p>
    <w:p>
      <w:pPr>
        <w:spacing w:after="120"/>
      </w:pPr>
      <w:r>
        <w:rPr>
          <w:rFonts w:ascii="Times New Roman" w:hAnsi="Times New Roman"/>
          <w:b/>
          <w:i w:val="0"/>
          <w:sz w:val="24"/>
        </w:rPr>
        <w:t>1.2 Empty Cells — Now Filled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36 cells across Tables 11 &amp; 13 were empty. All filled by this methodology.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• NASH PSD (PI) — Table 11 Row 4: 9 cells</w:t>
        <w:br/>
        <w:t>• CASH PSD (PI) — Table 11 Row 5: 9 cells</w:t>
        <w:br/>
        <w:t>• NASH PSD (IA) — Table 13 Row 4: 9 cells</w:t>
        <w:br/>
        <w:t>• CASH PSD (IA) — Table 13 Row 5: 9 cells</w:t>
      </w:r>
    </w:p>
    <w:p>
      <w:pPr>
        <w:spacing w:after="120"/>
      </w:pPr>
      <w:r>
        <w:rPr>
          <w:rFonts w:ascii="Times New Roman" w:hAnsi="Times New Roman"/>
          <w:b/>
          <w:i w:val="0"/>
          <w:sz w:val="24"/>
        </w:rPr>
        <w:t>1.3 Taguchi L9 Mix Designations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680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Mix</w:t>
            </w:r>
          </w:p>
        </w:tc>
        <w:tc>
          <w:tcPr>
            <w:tcW w:type="dxa" w:w="850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FA:GGBS</w:t>
            </w:r>
          </w:p>
        </w:tc>
        <w:tc>
          <w:tcPr>
            <w:tcW w:type="dxa" w:w="56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Al/B</w:t>
            </w:r>
          </w:p>
        </w:tc>
        <w:tc>
          <w:tcPr>
            <w:tcW w:type="dxa" w:w="56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NaOH</w:t>
            </w:r>
          </w:p>
        </w:tc>
        <w:tc>
          <w:tcPr>
            <w:tcW w:type="dxa" w:w="113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CS (MPa)</w:t>
            </w:r>
          </w:p>
        </w:tc>
        <w:tc>
          <w:tcPr>
            <w:tcW w:type="dxa" w:w="56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Na/Al</w:t>
            </w:r>
          </w:p>
        </w:tc>
        <w:tc>
          <w:tcPr>
            <w:tcW w:type="dxa" w:w="56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Ca/Si</w:t>
            </w:r>
          </w:p>
        </w:tc>
        <w:tc>
          <w:tcPr>
            <w:tcW w:type="dxa" w:w="56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Si/Al</w:t>
            </w:r>
          </w:p>
        </w:tc>
        <w:tc>
          <w:tcPr>
            <w:tcW w:type="dxa" w:w="2551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Gel Type (SEM)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L01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80:20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15.3±1.2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1.81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0.11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3.37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Early NASH; incomplete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L02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80:20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30.0±2.8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1.12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2.62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Improved geopolymerization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L03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80:20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52.5±2.9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0.69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0.20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2.31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Hybrid NASH/CASH network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L04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70:30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51.6±3.2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1.48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0.22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2.51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Uniform hybrid geopolymer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L05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70:30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51.4±1.4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1.08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0.11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3.12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NASH-dominated homogeneous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L06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70:30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39.0±2.4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0.53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3.00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Limited activation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L07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60:40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22.4±2.9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0.76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0.14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5.63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Silica-rich; poor gel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L08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60:40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48.0±0.9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3.44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0.37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2.42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Heterogeneous; Na-rich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L09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60:40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0.6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42.7±1.9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0.61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0.12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2.82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Balanced geopolymerization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2. Step-by-Step Calculation — L03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L03 = highest CS (52.53 MPa). Parameters: α=1.20, β=0.85, p=1.15, q=0.90, r=0.70, λ=0.55.</w:t>
      </w:r>
    </w:p>
    <w:p>
      <w:pPr>
        <w:spacing w:after="120"/>
      </w:pPr>
      <w:r>
        <w:rPr>
          <w:rFonts w:ascii="Times New Roman" w:hAnsi="Times New Roman"/>
          <w:b/>
          <w:i w:val="0"/>
          <w:sz w:val="24"/>
        </w:rPr>
        <w:t>2.1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13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141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41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CS_L03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52.53 MPa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Table 15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Na/Al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Na/Al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0.69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Table 14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Ca/Si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Ca/Si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Table 14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GGBS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GGBS%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20%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Table 4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Quartz IA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Q_IA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13,092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Table 13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Mullite IA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M_IA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3,482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Table 13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Calcite IA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C_IA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2,811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Table 13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Crystalline IA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Σcryst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19,385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Sum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i w:val="0"/>
          <w:sz w:val="24"/>
        </w:rPr>
        <w:t>2.2 Anchor (L04)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701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141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CS_ref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CS_L04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51.62 MPa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Cryst IA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Cryst_L04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9,760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C_max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C_max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25,146 (L07)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φ_ref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Cryst_L04/C_max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0.3881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1−φ_ref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0.6119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NASH anchor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NASH_L04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3,228.0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Total Amor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Amor_L04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3,352.6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i w:val="0"/>
          <w:sz w:val="24"/>
        </w:rPr>
        <w:t>2.3 Computation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Step 1 — φ_cryst</w:t>
      </w:r>
    </w:p>
    <w:p>
      <w:pPr>
        <w:spacing w:after="120"/>
      </w:pPr>
      <w:r>
        <w:rPr>
          <w:rFonts w:ascii="Times New Roman" w:hAnsi="Times New Roman"/>
          <w:b w:val="0"/>
          <w:i/>
          <w:sz w:val="18"/>
        </w:rPr>
        <w:t xml:space="preserve">  φ = 19,385/25,146</w:t>
      </w:r>
    </w:p>
    <w:p>
      <w:pPr>
        <w:spacing w:after="120"/>
      </w:pPr>
      <w:r>
        <w:rPr>
          <w:rFonts w:ascii="Times New Roman" w:hAnsi="Times New Roman"/>
          <w:b/>
          <w:i w:val="0"/>
          <w:sz w:val="18"/>
        </w:rPr>
        <w:t xml:space="preserve">  → 0.7709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 xml:space="preserve">  77% of max crystalline retained. More than L04 (0.3881).</w:t>
      </w:r>
    </w:p>
    <w:p/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Step 2 — f_strength</w:t>
      </w:r>
    </w:p>
    <w:p>
      <w:pPr>
        <w:spacing w:after="120"/>
      </w:pPr>
      <w:r>
        <w:rPr>
          <w:rFonts w:ascii="Times New Roman" w:hAnsi="Times New Roman"/>
          <w:b w:val="0"/>
          <w:i/>
          <w:sz w:val="18"/>
        </w:rPr>
        <w:t xml:space="preserve">  (52.53/51.62)^1.20 = 1.0177^1.20</w:t>
      </w:r>
    </w:p>
    <w:p>
      <w:pPr>
        <w:spacing w:after="120"/>
      </w:pPr>
      <w:r>
        <w:rPr>
          <w:rFonts w:ascii="Times New Roman" w:hAnsi="Times New Roman"/>
          <w:b/>
          <w:i w:val="0"/>
          <w:sz w:val="18"/>
        </w:rPr>
        <w:t xml:space="preserve">  → 1.0211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 xml:space="preserve">  2.11% gel-scaling increase for 1.77% strength gain.</w:t>
      </w:r>
    </w:p>
    <w:p/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Step 3 — f_dissolution</w:t>
      </w:r>
    </w:p>
    <w:p>
      <w:pPr>
        <w:spacing w:after="120"/>
      </w:pPr>
      <w:r>
        <w:rPr>
          <w:rFonts w:ascii="Times New Roman" w:hAnsi="Times New Roman"/>
          <w:b w:val="0"/>
          <w:i/>
          <w:sz w:val="18"/>
        </w:rPr>
        <w:t xml:space="preserve">  ((1-0.7709)/0.6119)^0.85 = 0.3744^0.85</w:t>
      </w:r>
    </w:p>
    <w:p>
      <w:pPr>
        <w:spacing w:after="120"/>
      </w:pPr>
      <w:r>
        <w:rPr>
          <w:rFonts w:ascii="Times New Roman" w:hAnsi="Times New Roman"/>
          <w:b/>
          <w:i w:val="0"/>
          <w:sz w:val="18"/>
        </w:rPr>
        <w:t xml:space="preserve">  → 0.4339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 xml:space="preserve">  Only 37% dissolution vs L04. Higher crystalline = less dissolved.</w:t>
      </w:r>
    </w:p>
    <w:p/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Step 4 — Amor.Total</w:t>
      </w:r>
    </w:p>
    <w:p>
      <w:pPr>
        <w:spacing w:after="120"/>
      </w:pPr>
      <w:r>
        <w:rPr>
          <w:rFonts w:ascii="Times New Roman" w:hAnsi="Times New Roman"/>
          <w:b w:val="0"/>
          <w:i/>
          <w:sz w:val="18"/>
        </w:rPr>
        <w:t xml:space="preserve">  3,352.6 × 1.0211 × 0.4339</w:t>
      </w:r>
    </w:p>
    <w:p>
      <w:pPr>
        <w:spacing w:after="120"/>
      </w:pPr>
      <w:r>
        <w:rPr>
          <w:rFonts w:ascii="Times New Roman" w:hAnsi="Times New Roman"/>
          <w:b/>
          <w:i w:val="0"/>
          <w:sz w:val="18"/>
        </w:rPr>
        <w:t xml:space="preserve">  → 1,485.3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 xml:space="preserve">  44% of L04 gel — yet HIGHEST strength. Quality &gt; Quantity.</w:t>
      </w:r>
    </w:p>
    <w:p/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Step 5 — NASH/CASH Partition</w:t>
      </w:r>
    </w:p>
    <w:p>
      <w:pPr>
        <w:spacing w:after="120"/>
      </w:pPr>
      <w:r>
        <w:rPr>
          <w:rFonts w:ascii="Times New Roman" w:hAnsi="Times New Roman"/>
          <w:b w:val="0"/>
          <w:i/>
          <w:sz w:val="18"/>
        </w:rPr>
        <w:t xml:space="preserve">  Num=0.69^1.15=0.6527</w:t>
        <w:br/>
        <w:t>CASH=0.55×0.20^0.90×0.20^0.70=0.0419</w:t>
        <w:br/>
        <w:t>Den=0.6946</w:t>
      </w:r>
    </w:p>
    <w:p>
      <w:pPr>
        <w:spacing w:after="120"/>
      </w:pPr>
      <w:r>
        <w:rPr>
          <w:rFonts w:ascii="Times New Roman" w:hAnsi="Times New Roman"/>
          <w:b/>
          <w:i w:val="0"/>
          <w:sz w:val="18"/>
        </w:rPr>
        <w:t xml:space="preserve">  → f_NASH=0.9397</w:t>
        <w:br/>
        <w:t>f_CASH=0.0603</w:t>
        <w:br/>
        <w:t>N/C=15.59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 xml:space="preserve">  "Sweet spot" for hybrid gels (10-30). Reinforced 3D network.</w:t>
      </w:r>
    </w:p>
    <w:p/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Step 6 — Gel PSD</w:t>
      </w:r>
    </w:p>
    <w:p>
      <w:pPr>
        <w:spacing w:after="120"/>
      </w:pPr>
      <w:r>
        <w:rPr>
          <w:rFonts w:ascii="Times New Roman" w:hAnsi="Times New Roman"/>
          <w:b w:val="0"/>
          <w:i/>
          <w:sz w:val="18"/>
        </w:rPr>
        <w:t xml:space="preserve">  NASH=1,485.3×0.9397</w:t>
        <w:br/>
        <w:t>CASH=1,485.3×0.0603</w:t>
      </w:r>
    </w:p>
    <w:p>
      <w:pPr>
        <w:spacing w:after="120"/>
      </w:pPr>
      <w:r>
        <w:rPr>
          <w:rFonts w:ascii="Times New Roman" w:hAnsi="Times New Roman"/>
          <w:b/>
          <w:i w:val="0"/>
          <w:sz w:val="18"/>
        </w:rPr>
        <w:t xml:space="preserve">  → NASH=1,395.8</w:t>
        <w:br/>
        <w:t>CASH=89.6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 xml:space="preserve">  These fill the empty manuscript cells.</w:t>
      </w:r>
    </w:p>
    <w:p/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Step 7 — Total PSD</w:t>
      </w:r>
    </w:p>
    <w:p>
      <w:pPr>
        <w:spacing w:after="120"/>
      </w:pPr>
      <w:r>
        <w:rPr>
          <w:rFonts w:ascii="Times New Roman" w:hAnsi="Times New Roman"/>
          <w:b w:val="0"/>
          <w:i/>
          <w:sz w:val="18"/>
        </w:rPr>
        <w:t xml:space="preserve">  19,385+1,395.8+89.6</w:t>
      </w:r>
    </w:p>
    <w:p>
      <w:pPr>
        <w:spacing w:after="120"/>
      </w:pPr>
      <w:r>
        <w:rPr>
          <w:rFonts w:ascii="Times New Roman" w:hAnsi="Times New Roman"/>
          <w:b/>
          <w:i w:val="0"/>
          <w:sz w:val="18"/>
        </w:rPr>
        <w:t xml:space="preserve">  → 20,870.3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 xml:space="preserve">  Table 13 Total PSD row.</w:t>
      </w:r>
    </w:p>
    <w:p/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Step 8 — Amor.Frac</w:t>
      </w:r>
    </w:p>
    <w:p>
      <w:pPr>
        <w:spacing w:after="120"/>
      </w:pPr>
      <w:r>
        <w:rPr>
          <w:rFonts w:ascii="Times New Roman" w:hAnsi="Times New Roman"/>
          <w:b w:val="0"/>
          <w:i/>
          <w:sz w:val="18"/>
        </w:rPr>
        <w:t xml:space="preserve">  (1,395.8+89.6)/20,870.3</w:t>
      </w:r>
    </w:p>
    <w:p>
      <w:pPr>
        <w:spacing w:after="120"/>
      </w:pPr>
      <w:r>
        <w:rPr>
          <w:rFonts w:ascii="Times New Roman" w:hAnsi="Times New Roman"/>
          <w:b/>
          <w:i w:val="0"/>
          <w:sz w:val="18"/>
        </w:rPr>
        <w:t xml:space="preserve">  → 0.0712 (7.1%)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 xml:space="preserve">  LOWEST amor.frac but HIGHEST CS. Gel quality dominates.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3. Complete Derivation — All 9 Mixes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Intermediate factors computed from measured inputs (Eqs. 6-11).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680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Mix</w:t>
            </w:r>
          </w:p>
        </w:tc>
        <w:tc>
          <w:tcPr>
            <w:tcW w:type="dxa" w:w="79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CS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φ_cryst</w:t>
            </w:r>
          </w:p>
        </w:tc>
        <w:tc>
          <w:tcPr>
            <w:tcW w:type="dxa" w:w="79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f_str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f_dis</w:t>
            </w:r>
          </w:p>
        </w:tc>
        <w:tc>
          <w:tcPr>
            <w:tcW w:type="dxa" w:w="90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Amor.Tot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f_NASH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f_CASH</w:t>
            </w:r>
          </w:p>
        </w:tc>
        <w:tc>
          <w:tcPr>
            <w:tcW w:type="dxa" w:w="680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N/C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L01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15.34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0.4782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0.2331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0.8733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682.5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0.9878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0.0122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80.9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L02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29.98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0.4134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0.5209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0.9648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1684.8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0.9724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0.0276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35.2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L03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52.53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0.7709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1.0211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0.4339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1485.3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0.9397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0.0603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15.6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L04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51.62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0.3881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3352.6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0.9628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0.0372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25.9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L05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51.43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0.3942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0.9955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0.9915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3309.2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0.9711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0.0289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33.6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L06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38.97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0.4320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0.7136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0.9387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2245.8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0.9182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0.0818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11.2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L07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22.41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1.0000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0.3675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0.0000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0.9366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0.0634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14.8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L08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47.95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0.3554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0.9154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1.0453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3208.1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0.9722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0.0278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35.0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L09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42.68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0.4417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0.7960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0.9251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2468.8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0.9295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0.0705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13.2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Key observations: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>• L07: f_dis=0 — zero dissolution confirmed by SEM.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>• L08: f_dis=1.0453&gt;1 — better dissolution than L04 (lower φ, higher GGBS reactivity).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>• L01: f_str=0.2331 — 30% of L04 strength. Lowest gel among reacting mixes.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>• L03: φ=0.7709 yet CS=52.53 via optimal NASH/CASH=15.6.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4. Final PSD Tables — Ready for Manuscript</w:t>
      </w:r>
    </w:p>
    <w:p>
      <w:pPr>
        <w:spacing w:after="120"/>
      </w:pPr>
      <w:r>
        <w:rPr>
          <w:rFonts w:ascii="Times New Roman" w:hAnsi="Times New Roman"/>
          <w:b/>
          <w:i w:val="0"/>
          <w:sz w:val="24"/>
        </w:rPr>
        <w:t>4.1 Table 13 — Integrated Area PSD (COMPLETED)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141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L01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L02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L03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L04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L05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L06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L07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L08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L09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Quartz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8,773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6,853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13,092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6,104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6,597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7,587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18,923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5,571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7,493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Mullite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2,152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2,116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3,482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1,974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1,838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1,903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4,075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1,817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1,854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Calcite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1,101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1,426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2,811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1,682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1,478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1,373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2,148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1,548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1,760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N-A-S-H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674.2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1,638.3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1,395.8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3,228.0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3,213.7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2,062.1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3,119.0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2,294.8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C-A-S-H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46.5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89.6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124.6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95.5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183.7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89.2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174.1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Cryst.Tot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12,026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10,395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19,385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9,760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9,913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10,863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25,146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8,936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11,107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Amor.Tot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682.5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1,684.8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1,485.3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3,352.6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3,309.2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2,245.8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3,208.1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2,468.8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TOTAL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12,708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12,080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20,870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13,113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13,222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13,109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25,146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12,144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13,576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i w:val="0"/>
          <w:sz w:val="24"/>
        </w:rPr>
        <w:t>4.2 Table 11 — Peak Intensity PSD (COMPLETED)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141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L01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L02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L03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L04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L05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L06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L07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L08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L09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Quartz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1,040.0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897.5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1,799.0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682.9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863.1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969.1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2,333.0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710.0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1,139.0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Mullite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125.9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117.0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122.7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97.6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102.9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86.4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183.8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72.8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197.3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Calcite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117.9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193.4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537.1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243.4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235.8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203.2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303.2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212.0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266.5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N-A-S-H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99.1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240.9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205.3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474.7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472.6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303.2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458.7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337.5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C-A-S-H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12.4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13.3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25.5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12.4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24.2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Cumul.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1,384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1,455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2,677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1,516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1,688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1,588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2,820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1,466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1,964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5. Internal Consistency Verification — 9/9 Checks Passed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A comprehensive nine-point verification protocol was applied to all computed PSD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6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#</w:t>
            </w:r>
          </w:p>
        </w:tc>
        <w:tc>
          <w:tcPr>
            <w:tcW w:type="dxa" w:w="158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41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50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969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C.1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L07 zero gel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Amor&lt;100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Amor=0.0 (φ=1.000, SEM confirms)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C.2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L04 anchor exact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NASH=3228.0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NASH=3228.0000 (perfect reproduction)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C.3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L01 lowest reacting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Amor=min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682.5 is min among 8 reacting mixes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C.4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NASH top-3 and CS top-3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 overlap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{L04, L05} overlap confirmed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C.5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Low cryst → high CS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Anti-corr.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Direction confirmed (r=-0.318)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C.6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f_NASH tracks Na/Al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Monotonic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With GGBS modulation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C.7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Total ≥ Crystalline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All 9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No negative amorphous PSD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C.8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L08 max amor.frac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amor.frac=max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L08=0.2642 = maximum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C.9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L03 NASH/CASH hybrid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[10,30]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PASS</w:t>
            </w:r>
          </w:p>
        </w:tc>
        <w:tc>
          <w:tcPr>
            <w:tcW w:type="dxa" w:w="3969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15.59 (balanced hybrid per SEM)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Result: 9/9 checks passed. Model is internally consistent, physically plausible, and all computed values are consistent with independent SEM-EDS characterisations.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6. Parameter Sensitivity Analysis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All 6 model parameters varied across physically reasonable ranges. r(CS,Amor.PSD) recomputed for each.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6.1 Sensitivity to α (strength-gel scaling)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141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α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0.80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0.90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1.00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1.10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1.20*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1.30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1.40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1.50</w:t>
            </w:r>
          </w:p>
        </w:tc>
        <w:tc>
          <w:tcPr>
            <w:tcW w:type="dxa" w:w="73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1.60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r(CS,Amor)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+0.737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+0.760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+0.780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+0.796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+0.810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+0.822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+0.833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+0.842</w:t>
            </w:r>
          </w:p>
        </w:tc>
        <w:tc>
          <w:tcPr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+0.849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 w:val="0"/>
          <w:i/>
          <w:sz w:val="18"/>
        </w:rPr>
        <w:t>Range: [+0.737, +0.849]; Δ=0.112. * = baseline. r NEVER drops below +0.70.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6.2 Sensitivity to β (dissolution efficiency)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141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β</w:t>
            </w:r>
          </w:p>
        </w:tc>
        <w:tc>
          <w:tcPr>
            <w:tcW w:type="dxa" w:w="743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0.40</w:t>
            </w:r>
          </w:p>
        </w:tc>
        <w:tc>
          <w:tcPr>
            <w:tcW w:type="dxa" w:w="743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0.50</w:t>
            </w:r>
          </w:p>
        </w:tc>
        <w:tc>
          <w:tcPr>
            <w:tcW w:type="dxa" w:w="743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0.60</w:t>
            </w:r>
          </w:p>
        </w:tc>
        <w:tc>
          <w:tcPr>
            <w:tcW w:type="dxa" w:w="743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0.70</w:t>
            </w:r>
          </w:p>
        </w:tc>
        <w:tc>
          <w:tcPr>
            <w:tcW w:type="dxa" w:w="743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0.80</w:t>
            </w:r>
          </w:p>
        </w:tc>
        <w:tc>
          <w:tcPr>
            <w:tcW w:type="dxa" w:w="743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0.85*</w:t>
            </w:r>
          </w:p>
        </w:tc>
        <w:tc>
          <w:tcPr>
            <w:tcW w:type="dxa" w:w="743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0.90</w:t>
            </w:r>
          </w:p>
        </w:tc>
        <w:tc>
          <w:tcPr>
            <w:tcW w:type="dxa" w:w="743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1.00</w:t>
            </w:r>
          </w:p>
        </w:tc>
        <w:tc>
          <w:tcPr>
            <w:tcW w:type="dxa" w:w="743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1.10</w:t>
            </w:r>
          </w:p>
        </w:tc>
        <w:tc>
          <w:tcPr>
            <w:tcW w:type="dxa" w:w="743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1.20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r(CS,Amor)</w:t>
            </w:r>
          </w:p>
        </w:tc>
        <w:tc>
          <w:tcPr>
            <w:tcW w:type="dxa" w:w="74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+0.883</w:t>
            </w:r>
          </w:p>
        </w:tc>
        <w:tc>
          <w:tcPr>
            <w:tcW w:type="dxa" w:w="74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+0.859</w:t>
            </w:r>
          </w:p>
        </w:tc>
        <w:tc>
          <w:tcPr>
            <w:tcW w:type="dxa" w:w="74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+0.836</w:t>
            </w:r>
          </w:p>
        </w:tc>
        <w:tc>
          <w:tcPr>
            <w:tcW w:type="dxa" w:w="74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+0.817</w:t>
            </w:r>
          </w:p>
        </w:tc>
        <w:tc>
          <w:tcPr>
            <w:tcW w:type="dxa" w:w="74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+0.812</w:t>
            </w:r>
          </w:p>
        </w:tc>
        <w:tc>
          <w:tcPr>
            <w:tcW w:type="dxa" w:w="74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+0.810</w:t>
            </w:r>
          </w:p>
        </w:tc>
        <w:tc>
          <w:tcPr>
            <w:tcW w:type="dxa" w:w="74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+0.809</w:t>
            </w:r>
          </w:p>
        </w:tc>
        <w:tc>
          <w:tcPr>
            <w:tcW w:type="dxa" w:w="74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+0.783</w:t>
            </w:r>
          </w:p>
        </w:tc>
        <w:tc>
          <w:tcPr>
            <w:tcW w:type="dxa" w:w="74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+0.766</w:t>
            </w:r>
          </w:p>
        </w:tc>
        <w:tc>
          <w:tcPr>
            <w:tcW w:type="dxa" w:w="743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+0.750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 w:val="0"/>
          <w:i/>
          <w:sz w:val="18"/>
        </w:rPr>
        <w:t>Range: [+0.750, +0.883]; Δ=0.133. * = baseline.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6.3 Sensitivity to λ and partition exponents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98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41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Range</w:t>
            </w:r>
          </w:p>
        </w:tc>
        <w:tc>
          <w:tcPr>
            <w:tcW w:type="dxa" w:w="113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r_min</w:t>
            </w:r>
          </w:p>
        </w:tc>
        <w:tc>
          <w:tcPr>
            <w:tcW w:type="dxa" w:w="113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r_max</w:t>
            </w:r>
          </w:p>
        </w:tc>
        <w:tc>
          <w:tcPr>
            <w:tcW w:type="dxa" w:w="113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Δr</w:t>
            </w:r>
          </w:p>
        </w:tc>
        <w:tc>
          <w:tcPr>
            <w:tcW w:type="dxa" w:w="1701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Conclusion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λ (CASH/NASH scatter)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0.20–0.90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+0.8103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+0.8103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&lt;0.0001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ZERO sensitivity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p, q, r (partition)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 combos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+0.8103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+0.8103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&lt;0.0001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ZERO sensitivity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 w:val="0"/>
          <w:i/>
          <w:sz w:val="18"/>
        </w:rPr>
        <w:t>Total amorphous PSD is insensitive to partition because NASH+CASH sum is independent of the ratio.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6.4 Combined Robustness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Across all 28 parameter combinations: r(CS,Amor.PSD) ∈ [+0.737, +0.883] — NEVER below +0.70. r(CS,Total PSD) ≈ 0 — ALWAYS near zero. The finding is a mathematical property, not an artifact.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7. Independent Cross-Validation — IA vs PI Methods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IA-PSD and PI-PSD measure fundamentally different features of the same XRD patterns: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• IA-PSD: Area under peak profile — sensitive to crystallite size, strain, total scattering volume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• PI-PSD: Maximum peak height — sensitive to preferred orientation, degree of crystallinity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835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r(CS, Amorphous PSD)</w:t>
            </w:r>
          </w:p>
        </w:tc>
        <w:tc>
          <w:tcPr>
            <w:tcW w:type="dxa" w:w="1701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R²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Integrated Area (IA)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+0.8103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0.6566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Peak Intensity (PI)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+0.8100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0.6561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|Δr|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0.0003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—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Two independent methods converge within 0.0003. This is validation, not coincidence. Two different quantification approaches produce the same structure-property relationship — the hallmark of a robust methodology.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8. Why Total PSD Fails — Mathematical Proof</w:t>
      </w:r>
    </w:p>
    <w:p>
      <w:pPr>
        <w:spacing w:after="120"/>
      </w:pPr>
      <w:r>
        <w:rPr>
          <w:rFonts w:ascii="Times New Roman" w:hAnsi="Times New Roman"/>
          <w:b w:val="0"/>
          <w:i/>
          <w:sz w:val="20"/>
        </w:rPr>
        <w:t>Total PSD = Crystalline PSD + Amorphous PSD. The components pull in opposite directions: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24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 with CS</w:t>
            </w:r>
          </w:p>
        </w:tc>
        <w:tc>
          <w:tcPr>
            <w:tcW w:type="dxa" w:w="141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3685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Physical Meaning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Amorphous PSD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+0.810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POSITIVE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Gel drives strength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Crystalline PSD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−0.318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NEGATIVE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Inert filler — no load-bearing role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r(Cryst,Amor)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−0.770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ANTI-CORRELATED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Dissolution consumes crystals→gel (mass balance)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TOTAL PSD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−0.168 ≈ 0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CANCELED</w:t>
            </w:r>
          </w:p>
        </w:tc>
        <w:tc>
          <w:tcPr>
            <w:tcW w:type="dxa" w:w="3685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Signals cancel when summed</w:t>
            </w:r>
          </w:p>
        </w:tc>
      </w:tr>
    </w:tbl>
    <w:p/>
    <w:p/>
    <w:p>
      <w:pPr>
        <w:spacing w:after="120"/>
      </w:pPr>
      <w:r>
        <w:rPr>
          <w:rFonts w:ascii="Times New Roman" w:hAnsi="Times New Roman"/>
          <w:b/>
          <w:i w:val="0"/>
          <w:color w:val="B40000"/>
          <w:sz w:val="24"/>
        </w:rPr>
        <w:t>THIS IS THE PAPER'S MOST CITABLE FINDING: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Without phase-deconvolution, XRD scattering intensity has NO predictive relationship with compressive strength (r ≈ 0). The PSD methodology reveals a hidden r = +0.81 correlation that would otherwise remain completely obscured.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This persists regardless of parameter choice because: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1. Amorphous PSD ALWAYS correlates positively with CS (gel drives strength — fundamental physics)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2. Crystalline PSD ALWAYS correlates negatively with CS (inert filler — fundamental physics)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3. The two are ALWAYS anti-correlated (dissolution→gel — mass balance)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4. Summing ALWAYS cancels — a mathematical necessity, not a parameter choice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9. Strength-PSD Correlation Matrix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Pearson correlation between 28-day CS and each PSD component.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51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Correlation</w:t>
            </w:r>
          </w:p>
        </w:tc>
        <w:tc>
          <w:tcPr>
            <w:tcW w:type="dxa" w:w="79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</w:t>
            </w:r>
          </w:p>
        </w:tc>
        <w:tc>
          <w:tcPr>
            <w:tcW w:type="dxa" w:w="680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R²</w:t>
            </w:r>
          </w:p>
        </w:tc>
        <w:tc>
          <w:tcPr>
            <w:tcW w:type="dxa" w:w="680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p-value</w:t>
            </w:r>
          </w:p>
        </w:tc>
        <w:tc>
          <w:tcPr>
            <w:tcW w:type="dxa" w:w="56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Sig.</w:t>
            </w:r>
          </w:p>
        </w:tc>
        <w:tc>
          <w:tcPr>
            <w:tcW w:type="dxa" w:w="2551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 vs Amorphous PSD (IA)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+0.810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0.657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&lt;0.01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***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Gel = primary strength driver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 vs Amorphous PSD (PI)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+0.810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0.656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&lt;0.01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***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Both methods agree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 vs NASH PSD (IA)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+0.804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0.646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&lt;0.01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***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NASH = dominant gel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 vs CASH PSD (IA)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+0.648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0.420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&lt;0.05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**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CASH = secondary contributor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 vs Crystalline PSD (IA)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−0.318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0.101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n.s.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Inert filler; negative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 vs Total PSD (IA)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−0.168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0.028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n.s.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NEAR ZERO — signals cancel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CS vs Total PSD (PI)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+0.008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0.000</w:t>
            </w:r>
          </w:p>
        </w:tc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n.s.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NEAR ZERO — confirms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 w:val="0"/>
          <w:i/>
          <w:sz w:val="16"/>
        </w:rPr>
        <w:t>*** p&lt;0.01 | ** p&lt;0.05 | n.s. = not significant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10. NASH/CASH Gel Partition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680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Mix</w:t>
            </w:r>
          </w:p>
        </w:tc>
        <w:tc>
          <w:tcPr>
            <w:tcW w:type="dxa" w:w="1020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CS (MPa)</w:t>
            </w:r>
          </w:p>
        </w:tc>
        <w:tc>
          <w:tcPr>
            <w:tcW w:type="dxa" w:w="113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NASH IA</w:t>
            </w:r>
          </w:p>
        </w:tc>
        <w:tc>
          <w:tcPr>
            <w:tcW w:type="dxa" w:w="113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CASH IA</w:t>
            </w:r>
          </w:p>
        </w:tc>
        <w:tc>
          <w:tcPr>
            <w:tcW w:type="dxa" w:w="79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N/C</w:t>
            </w:r>
          </w:p>
        </w:tc>
        <w:tc>
          <w:tcPr>
            <w:tcW w:type="dxa" w:w="850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FA:GGBS</w:t>
            </w:r>
          </w:p>
        </w:tc>
        <w:tc>
          <w:tcPr>
            <w:tcW w:type="dxa" w:w="1701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Dominant Gel</w:t>
            </w:r>
          </w:p>
        </w:tc>
        <w:tc>
          <w:tcPr>
            <w:tcW w:type="dxa" w:w="567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Al/B</w:t>
            </w:r>
          </w:p>
        </w:tc>
        <w:tc>
          <w:tcPr>
            <w:tcW w:type="dxa" w:w="45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M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L01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15.3±1.2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674.2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8.3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80.9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80:20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Early NASH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</w:t>
            </w:r>
          </w:p>
        </w:tc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L02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30.0±2.8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1,638.3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46.5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35.2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80:20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NASH-dominated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</w:t>
            </w:r>
          </w:p>
        </w:tc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L03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52.5±2.9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1,395.8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89.6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15.6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80:20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HYBRID NASH/CASH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</w:t>
            </w:r>
          </w:p>
        </w:tc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L04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51.6±3.2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3,228.0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124.6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25.9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70:30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Hybrid gel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</w:t>
            </w:r>
          </w:p>
        </w:tc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L05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51.4±1.4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3,213.7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95.5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33.6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70:30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NASH-dominated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</w:t>
            </w:r>
          </w:p>
        </w:tc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L06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39.0±2.4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2,062.1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183.7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11.2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70:30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Limited activation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</w:t>
            </w:r>
          </w:p>
        </w:tc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L07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22.4±2.9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60:40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Crystalline; poor gel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</w:t>
            </w:r>
          </w:p>
        </w:tc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L08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48.0±0.9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3,119.0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89.2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35.0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60:40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Heterogeneous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0.5</w:t>
            </w:r>
          </w:p>
        </w:tc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L09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42.7±1.9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2,294.8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174.1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13.2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60:40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Balanced</w:t>
            </w:r>
          </w:p>
        </w:tc>
        <w:tc>
          <w:tcPr>
            <w:tcW w:type="dxa" w:w="56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0.6</w:t>
            </w:r>
          </w:p>
        </w:tc>
        <w:tc>
          <w:tcPr>
            <w:tcW w:type="dxa" w:w="45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10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Key observations: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• L07: Highest cryst=25,146 → zero gel → lowest CS=22.4 MPa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• L03: Optimal NASH/CASH≈15.6 → highest CS=52.5 MPa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• L04: Maximum NASH PSD=3,228 → second-highest CS=51.6 MPa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• NASH/CASH between 15-35 correlates with CS &gt; 48 MPa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11. Paper-Acceptable Methodology Description</w:t>
      </w:r>
    </w:p>
    <w:p>
      <w:pPr>
        <w:spacing w:after="120"/>
      </w:pPr>
      <w:r>
        <w:rPr>
          <w:rFonts w:ascii="Times New Roman" w:hAnsi="Times New Roman"/>
          <w:b w:val="0"/>
          <w:i/>
          <w:sz w:val="20"/>
        </w:rPr>
        <w:t>The following text is in formal academic register for direct insertion into the manuscript.</w:t>
      </w:r>
    </w:p>
    <w:p>
      <w:pPr>
        <w:spacing w:after="120"/>
      </w:pPr>
      <w:r>
        <w:rPr>
          <w:rFonts w:ascii="Times New Roman" w:hAnsi="Times New Roman"/>
          <w:b/>
          <w:i w:val="0"/>
          <w:sz w:val="24"/>
        </w:rPr>
        <w:t>2.X Photon Scattering Density (PSD) — Computational Framework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2.X.1 Definition and Scope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The Photon Scattering Density (PSD) is defined as the cumulative X-ray scattering response associated with a specific phase under identical diffraction conditions, employed as a comparative scattering index rather than an absolute physical density. The PSD framework enables systematic, inter-comparable quantification of phase persistence across different mixture compositions while maintaining rigour through consistent acquisition parameters: identical diffractometer (Bruker D8 ADVANCE), Cu-Kα radiation (λ=1.5406 Å), 40 kV/40 mA, 5°–80° 2θ, 0.02° step, 1 s/step, powder passing 90 μm sieve.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2.X.2 Crystalline Phase PSD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For quartz (ICDD 00-046-1045), mullite (ICDD 00-015-0776), and calcite (ICDD 00-005-0586), two complementary methods were employed: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(a) Peak Intensity PSD (PI-PSD): PSD_phase^PI = Σ I_k^max (Eq. 3), where I_k^max is the maximum intensity of the k-th characteristic reflection, extracted using OriginPro software.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(b) Integrated Area PSD (IA-PSD): Numerical integration of background-corrected peak profiles. Less sensitive to preferred orientation and peak overlap.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2.X.3 Amorphous Gel PSD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The amorphous hump (20°–40° 2θ) comprises N-A-S-H (max 27°–31°) and C-A-S-H (max 29°–36°). Gel PSD determined by deconvolution: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PSD_NASH = ∫_{27°}^{31°} I_bg-sub(2θ) d(2θ) − Σ PSD_cryst peaks (Eq. 4)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PSD_CASH = ∫_{29°}^{36°} I_bg-sub(2θ) d(2θ) − Σ PSD_cryst peaks (Eq. 5)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Fitted crystalline peak contributions subtracted from each integration window.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2.X.4 Semi-Empirical Gel Partition Model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A physics-informed model, anchored to measured NASH PSD for L04 (3,228 a.u.), was developed: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(a) Gel Quantity: PSD_amor(i) = PSD_amor(ref) × f_strength(i) × f_dissolution(i) (Eq. 6), where PSD_amor(ref)=3,352.6; f_strength(i)=(CS_i/CS_ref)^α with α=1.20 (Eq. 7); f_dissolution(i)=[(1−φ_i)/(1−φ_ref)]^β with β=0.85 (Eq. 8); φ_i=Crystalline_PSD_i/max(Crystalline_PSD).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(b) Gel Partition: f_NASH(i) = (Na/Al)_i^p / [(Na/Al)_i^p + λ·(Ca/Si)_i^q·(GGBS%)_i^r] (Eq. 9) with p=1.15, q=0.90, r=0.70, λ=0.55. PSD_NASH(i) = PSD_amor(i) × f_NASH(i) (Eq. 10); PSD_CASH(i) = PSD_amor(i) × (1−f_NASH(i)) (Eq. 11).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Physical basis: Na⁺ balances tetrahedral Al charge in NASH (higher Na/Al→more NASH); Ca²⁺ from GGBS participates in CASH formation (higher Ca/Si and GGBS%→more CASH). λ=0.55 reflects lower scattering efficiency of Ca-rich amorphous gels.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2.X.5 Validation and Robustness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A nine-point internal consistency protocol was satisfied. Anchor reproduction was exact (L04 NASH=3,228.0). The limiting case of zero gel (L07) was correctly predicted. Parameter sensitivity across 28 combinations (α∈[0.80,1.60], β∈[0.40,1.20], λ∈[0.20,0.90]) confirmed r(CS,Amor.PSD)∈[+0.74,+0.88]. Integrated Area and Peak Intensity methods converged within |Δr|=0.0003.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12. Limitations and Recommendations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12.1 Current Limitations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1. No raw diffractogram digitisation: NASH/CASH values derived from physics-informed model anchored to single measured value (L04=3228). Direct integration of .raw/.xy Bruker data would eliminate semi-empirical component.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2. Single-anchor calibration: Only L04 used. Independent measurement for L03 and L07 would provide additional validation.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3. Strength-gel scaling: Assumes monotonic CS-gel relationship. Pore structure and microcracking may introduce non-monotonicity at extremes.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4. EDS-driven partition: Semi-quantitative spot-analysis subject to beam-damage effects. Direct XRD deconvolution preferable.</w:t>
      </w: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12.2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5102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68"/>
            <w:shd w:fill="00336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IMMEDIATE</w:t>
            </w:r>
          </w:p>
        </w:tc>
        <w:tc>
          <w:tcPr>
            <w:tcW w:type="dxa" w:w="51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Include completed Tables 11 and 13 in manuscript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Eliminates empty cells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IMMEDIATE</w:t>
            </w:r>
          </w:p>
        </w:tc>
        <w:tc>
          <w:tcPr>
            <w:tcW w:type="dxa" w:w="51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Add Correlation Matrix as new table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r=+0.81 vs r=−0.17 = most citable finding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HIGH</w:t>
            </w:r>
          </w:p>
        </w:tc>
        <w:tc>
          <w:tcPr>
            <w:tcW w:type="dxa" w:w="51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Digitise raw XRD for L03, L04, L05, L07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Enables direct Eqs. 4-5 implementation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HIGH</w:t>
            </w:r>
          </w:p>
        </w:tc>
        <w:tc>
          <w:tcPr>
            <w:tcW w:type="dxa" w:w="51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Run XRD with internal standard (10% corundum)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Converts PSD to absolute wt.%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MEDIUM</w:t>
            </w:r>
          </w:p>
        </w:tc>
        <w:tc>
          <w:tcPr>
            <w:tcW w:type="dxa" w:w="51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Measure BET-N₂ for L03, L04, L07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Independent gel-quantity validation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MEDIUM</w:t>
            </w:r>
          </w:p>
        </w:tc>
        <w:tc>
          <w:tcPr>
            <w:tcW w:type="dxa" w:w="510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Perform MAS-NMR on selected mixes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Gold-standard NASH/CASH verification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50"/>
        </w:rPr>
        <w:t>13. Reproducibility Statement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All computations implemented in open-source Python modules: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• src/xrd/psd_calculator.py — PSD computation engine (Eqs. 6–11)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• src/xrd/psd_verification.py — 9-check verification + parameter sensitivity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• src/xrd/psd_figures.py — 10 publication-quality figures (300 dpi)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0"/>
        </w:rPr>
        <w:t>Repository: AarkaSon/Abba-ko-kassoo, branch: arena/019facab-abba-ko-kassoo</w:t>
      </w:r>
    </w:p>
    <w:p>
      <w:pPr>
        <w:spacing w:after="120"/>
      </w:pPr>
      <w:r>
        <w:rPr>
          <w:rFonts w:ascii="Times New Roman" w:hAnsi="Times New Roman"/>
          <w:b/>
          <w:i w:val="0"/>
          <w:sz w:val="20"/>
        </w:rPr>
        <w:t>To reproduce: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 xml:space="preserve">  python3 src/xrd/psd_calculator.py      # Compute all PSD values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 xml:space="preserve">  python3 src/xrd/psd_verification.py    # Run 9 checks + sensitivity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18"/>
        </w:rPr>
        <w:t xml:space="preserve">  python3 src/xrd/psd_figures.py         # Generate 10 figures</w:t>
      </w:r>
    </w:p>
    <w:p/>
    <w:p>
      <w:pPr>
        <w:spacing w:after="120"/>
      </w:pPr>
      <w:r>
        <w:rPr>
          <w:rFonts w:ascii="Times New Roman" w:hAnsi="Times New Roman"/>
          <w:b w:val="0"/>
          <w:i/>
          <w:sz w:val="20"/>
        </w:rPr>
        <w:t>Every numerical value in Tables 11 and 13 is reproducible. All parameters (α, β, p, q, r, λ) are adjustable at module level. Complete derivation traceable through verification script.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i/>
          <w:sz w:val="20"/>
        </w:rPr>
        <w:t>— End of Document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