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rPr>
        <w:t>INDUSTRY ISSUES AND RESEARCH GAPS</w:t>
      </w:r>
    </w:p>
    <w:p>
      <w:pPr>
        <w:spacing w:after="320"/>
        <w:jc w:val="center"/>
      </w:pPr>
      <w:r>
        <w:rPr>
          <w:b w:val="0"/>
          <w:i/>
          <w:sz w:val="20"/>
        </w:rPr>
        <w:t>Data tables, charts, and step-by-step Excel instructions</w:t>
      </w:r>
    </w:p>
    <w:p>
      <w:pPr>
        <w:spacing w:after="80"/>
        <w:jc w:val="center"/>
      </w:pPr>
      <w:r>
        <w:rPr>
          <w:b/>
          <w:i w:val="0"/>
          <w:sz w:val="44"/>
        </w:rPr>
        <w:t>Concrete Quality, Sustainability and Workability</w:t>
      </w:r>
    </w:p>
    <w:p>
      <w:pPr>
        <w:spacing w:after="320"/>
        <w:jc w:val="center"/>
      </w:pPr>
      <w:r>
        <w:rPr>
          <w:b w:val="0"/>
          <w:i/>
          <w:sz w:val="26"/>
        </w:rPr>
        <w:t>Supporting data for Projects C1, C4 and C5</w:t>
      </w:r>
    </w:p>
    <w:tbl>
      <w:tblPr>
        <w:tblStyle w:val="TableGrid"/>
        <w:tblW w:type="auto" w:w="0"/>
        <w:jc w:val="center"/>
        <w:tblLook w:firstColumn="1" w:firstRow="1" w:lastColumn="0" w:lastRow="0" w:noHBand="0" w:noVBand="1" w:val="04A0"/>
      </w:tblPr>
      <w:tblGrid>
        <w:gridCol w:w="4677"/>
        <w:gridCol w:w="4677"/>
      </w:tblGrid>
      <w:tr>
        <w:tc>
          <w:tcPr>
            <w:tcW w:type="dxa" w:w="2041"/>
            <w:shd w:val="clear" w:color="auto" w:fill="1F3B5C"/>
          </w:tcPr>
          <w:p>
            <w:pPr>
              <w:jc w:val="center"/>
            </w:pPr>
            <w:r/>
            <w:r>
              <w:rPr>
                <w:b/>
                <w:color w:val="FFFFFF"/>
                <w:sz w:val="20"/>
              </w:rPr>
              <w:t>Item</w:t>
            </w:r>
          </w:p>
        </w:tc>
        <w:tc>
          <w:tcPr>
            <w:tcW w:type="dxa" w:w="7030"/>
            <w:shd w:val="clear" w:color="auto" w:fill="1F3B5C"/>
          </w:tcPr>
          <w:p>
            <w:pPr>
              <w:jc w:val="center"/>
            </w:pPr>
            <w:r/>
            <w:r>
              <w:rPr>
                <w:b/>
                <w:color w:val="FFFFFF"/>
                <w:sz w:val="20"/>
              </w:rPr>
              <w:t>Details</w:t>
            </w:r>
          </w:p>
        </w:tc>
      </w:tr>
      <w:tr>
        <w:tc>
          <w:tcPr>
            <w:tcW w:type="dxa" w:w="2041"/>
          </w:tcPr>
          <w:p>
            <w:pPr>
              <w:spacing w:after="40"/>
            </w:pPr>
            <w:r/>
            <w:r>
              <w:rPr>
                <w:b/>
                <w:sz w:val="20"/>
              </w:rPr>
              <w:t>Purpose</w:t>
            </w:r>
          </w:p>
        </w:tc>
        <w:tc>
          <w:tcPr>
            <w:tcW w:type="dxa" w:w="7030"/>
          </w:tcPr>
          <w:p>
            <w:pPr>
              <w:spacing w:after="40"/>
            </w:pPr>
            <w:r/>
            <w:r>
              <w:rPr>
                <w:b w:val="0"/>
                <w:sz w:val="20"/>
              </w:rPr>
              <w:t>To provide the quantitative evidence of industry problems and research gaps that justify Projects C1, C4 and C5 — in tabular form, in chart form, and with instructions to reproduce every chart in MS Excel.</w:t>
            </w:r>
          </w:p>
        </w:tc>
      </w:tr>
      <w:tr>
        <w:tc>
          <w:tcPr>
            <w:tcW w:type="dxa" w:w="2041"/>
          </w:tcPr>
          <w:p>
            <w:pPr>
              <w:spacing w:after="40"/>
            </w:pPr>
            <w:r/>
            <w:r>
              <w:rPr>
                <w:b/>
                <w:sz w:val="20"/>
              </w:rPr>
              <w:t>How to use</w:t>
            </w:r>
          </w:p>
        </w:tc>
        <w:tc>
          <w:tcPr>
            <w:tcW w:type="dxa" w:w="7030"/>
          </w:tcPr>
          <w:p>
            <w:pPr>
              <w:spacing w:after="40"/>
            </w:pPr>
            <w:r/>
            <w:r>
              <w:rPr>
                <w:b w:val="0"/>
                <w:sz w:val="20"/>
              </w:rPr>
              <w:t>Each dataset appears as: (a) a data table you can type or paste into Excel, (b) the finished chart, (c) numbered Excel steps.</w:t>
            </w:r>
          </w:p>
        </w:tc>
      </w:tr>
      <w:tr>
        <w:tc>
          <w:tcPr>
            <w:tcW w:type="dxa" w:w="2041"/>
          </w:tcPr>
          <w:p>
            <w:pPr>
              <w:spacing w:after="40"/>
            </w:pPr>
            <w:r/>
            <w:r>
              <w:rPr>
                <w:b/>
                <w:sz w:val="20"/>
              </w:rPr>
              <w:t>Project C1</w:t>
            </w:r>
          </w:p>
        </w:tc>
        <w:tc>
          <w:tcPr>
            <w:tcW w:type="dxa" w:w="7030"/>
          </w:tcPr>
          <w:p>
            <w:pPr>
              <w:spacing w:after="40"/>
            </w:pPr>
            <w:r/>
            <w:r>
              <w:rPr>
                <w:b w:val="0"/>
                <w:sz w:val="20"/>
              </w:rPr>
              <w:t>Early-Age Strength Prediction</w:t>
            </w:r>
          </w:p>
        </w:tc>
      </w:tr>
      <w:tr>
        <w:tc>
          <w:tcPr>
            <w:tcW w:type="dxa" w:w="2041"/>
          </w:tcPr>
          <w:p>
            <w:pPr>
              <w:spacing w:after="40"/>
            </w:pPr>
            <w:r/>
            <w:r>
              <w:rPr>
                <w:b/>
                <w:sz w:val="20"/>
              </w:rPr>
              <w:t>Project C4</w:t>
            </w:r>
          </w:p>
        </w:tc>
        <w:tc>
          <w:tcPr>
            <w:tcW w:type="dxa" w:w="7030"/>
          </w:tcPr>
          <w:p>
            <w:pPr>
              <w:spacing w:after="40"/>
            </w:pPr>
            <w:r/>
            <w:r>
              <w:rPr>
                <w:b w:val="0"/>
                <w:sz w:val="20"/>
              </w:rPr>
              <w:t>SCM Substitution Optimiser</w:t>
            </w:r>
          </w:p>
        </w:tc>
      </w:tr>
      <w:tr>
        <w:tc>
          <w:tcPr>
            <w:tcW w:type="dxa" w:w="2041"/>
          </w:tcPr>
          <w:p>
            <w:pPr>
              <w:spacing w:after="40"/>
            </w:pPr>
            <w:r/>
            <w:r>
              <w:rPr>
                <w:b/>
                <w:sz w:val="20"/>
              </w:rPr>
              <w:t>Project C5</w:t>
            </w:r>
          </w:p>
        </w:tc>
        <w:tc>
          <w:tcPr>
            <w:tcW w:type="dxa" w:w="7030"/>
          </w:tcPr>
          <w:p>
            <w:pPr>
              <w:spacing w:after="40"/>
            </w:pPr>
            <w:r/>
            <w:r>
              <w:rPr>
                <w:b w:val="0"/>
                <w:sz w:val="20"/>
              </w:rPr>
              <w:t>Workability from Video</w:t>
            </w:r>
          </w:p>
        </w:tc>
      </w:tr>
      <w:tr>
        <w:tc>
          <w:tcPr>
            <w:tcW w:type="dxa" w:w="2041"/>
          </w:tcPr>
          <w:p>
            <w:pPr>
              <w:spacing w:after="40"/>
            </w:pPr>
            <w:r/>
            <w:r>
              <w:rPr>
                <w:b/>
                <w:sz w:val="20"/>
              </w:rPr>
              <w:t>Date</w:t>
            </w:r>
          </w:p>
        </w:tc>
        <w:tc>
          <w:tcPr>
            <w:tcW w:type="dxa" w:w="7030"/>
          </w:tcPr>
          <w:p>
            <w:pPr>
              <w:spacing w:after="40"/>
            </w:pPr>
            <w:r/>
            <w:r>
              <w:rPr>
                <w:b w:val="0"/>
                <w:sz w:val="20"/>
              </w:rPr>
              <w:t>________________</w:t>
            </w:r>
          </w:p>
        </w:tc>
      </w:tr>
    </w:tbl>
    <w:p>
      <w:pPr>
        <w:spacing w:after="60"/>
      </w:pPr>
    </w:p>
    <w:p/>
    <w:tbl>
      <w:tblPr>
        <w:tblStyle w:val="TableGrid"/>
        <w:tblW w:type="auto" w:w="0"/>
        <w:tblLook w:firstColumn="1" w:firstRow="1" w:lastColumn="0" w:lastRow="0" w:noHBand="0" w:noVBand="1" w:val="04A0"/>
      </w:tblPr>
      <w:tblGrid>
        <w:gridCol w:w="9355"/>
      </w:tblGrid>
      <w:tr>
        <w:tc>
          <w:tcPr>
            <w:tcW w:type="dxa" w:w="9071"/>
            <w:shd w:val="clear" w:color="auto" w:fill="FFF8E1"/>
          </w:tcPr>
          <w:p>
            <w:pPr>
              <w:spacing w:after="60"/>
            </w:pPr>
            <w:r/>
            <w:r>
              <w:rPr>
                <w:b/>
                <w:color w:val="B8860B"/>
                <w:sz w:val="21"/>
              </w:rPr>
              <w:t>IMPORTANT — how to read the data labels</w:t>
            </w:r>
          </w:p>
          <w:p>
            <w:pPr>
              <w:jc w:val="both"/>
            </w:pPr>
            <w:r>
              <w:rPr>
                <w:sz w:val="20"/>
              </w:rPr>
              <w:t>Every table in this document marks each figure with its origin. [S] means SOURCED from a published study and cited. [C] means COMPUTED arithmetically from sourced values. [I] means ILLUSTRATIVE — a representative value used only to show the shape of a relationship, which must be replaced with your own measurements. Never present an [I] value as a research finding.</w:t>
            </w:r>
          </w:p>
        </w:tc>
      </w:tr>
    </w:tbl>
    <w:p>
      <w:pPr>
        <w:spacing w:after="120"/>
      </w:pPr>
    </w:p>
    <w:p>
      <w:r>
        <w:br w:type="page"/>
      </w:r>
    </w:p>
    <w:p>
      <w:pPr>
        <w:pStyle w:val="Heading1"/>
      </w:pPr>
      <w:r>
        <w:t>CONTENTS</w:t>
      </w:r>
    </w:p>
    <w:tbl>
      <w:tblPr>
        <w:tblStyle w:val="TableGrid"/>
        <w:tblW w:type="auto" w:w="0"/>
        <w:jc w:val="center"/>
        <w:tblLook w:firstColumn="1" w:firstRow="1" w:lastColumn="0" w:lastRow="0" w:noHBand="0" w:noVBand="1" w:val="04A0"/>
      </w:tblPr>
      <w:tblGrid>
        <w:gridCol w:w="3118"/>
        <w:gridCol w:w="3118"/>
        <w:gridCol w:w="3118"/>
      </w:tblGrid>
      <w:tr>
        <w:tc>
          <w:tcPr>
            <w:tcW w:type="dxa" w:w="794"/>
            <w:shd w:val="clear" w:color="auto" w:fill="1F3B5C"/>
          </w:tcPr>
          <w:p>
            <w:pPr>
              <w:jc w:val="center"/>
            </w:pPr>
            <w:r/>
            <w:r>
              <w:rPr>
                <w:b/>
                <w:color w:val="FFFFFF"/>
                <w:sz w:val="20"/>
              </w:rPr>
              <w:t>Part</w:t>
            </w:r>
          </w:p>
        </w:tc>
        <w:tc>
          <w:tcPr>
            <w:tcW w:type="dxa" w:w="6576"/>
            <w:shd w:val="clear" w:color="auto" w:fill="1F3B5C"/>
          </w:tcPr>
          <w:p>
            <w:pPr>
              <w:jc w:val="center"/>
            </w:pPr>
            <w:r/>
            <w:r>
              <w:rPr>
                <w:b/>
                <w:color w:val="FFFFFF"/>
                <w:sz w:val="20"/>
              </w:rPr>
              <w:t>Section</w:t>
            </w:r>
          </w:p>
        </w:tc>
        <w:tc>
          <w:tcPr>
            <w:tcW w:type="dxa" w:w="1134"/>
            <w:shd w:val="clear" w:color="auto" w:fill="1F3B5C"/>
          </w:tcPr>
          <w:p>
            <w:pPr>
              <w:jc w:val="center"/>
            </w:pPr>
            <w:r/>
            <w:r>
              <w:rPr>
                <w:b/>
                <w:color w:val="FFFFFF"/>
                <w:sz w:val="20"/>
              </w:rPr>
              <w:t>Page</w:t>
            </w:r>
          </w:p>
        </w:tc>
      </w:tr>
      <w:tr>
        <w:tc>
          <w:tcPr>
            <w:tcW w:type="dxa" w:w="794"/>
          </w:tcPr>
          <w:p>
            <w:pPr>
              <w:spacing w:after="40"/>
            </w:pPr>
            <w:r/>
            <w:r>
              <w:rPr>
                <w:b w:val="0"/>
                <w:sz w:val="20"/>
              </w:rPr>
              <w:t>A</w:t>
            </w:r>
          </w:p>
        </w:tc>
        <w:tc>
          <w:tcPr>
            <w:tcW w:type="dxa" w:w="6576"/>
          </w:tcPr>
          <w:p>
            <w:pPr>
              <w:spacing w:after="40"/>
            </w:pPr>
            <w:r/>
            <w:r>
              <w:rPr>
                <w:b w:val="0"/>
                <w:sz w:val="20"/>
              </w:rPr>
              <w:t>How to use this document with Excel</w:t>
            </w:r>
          </w:p>
        </w:tc>
        <w:tc>
          <w:tcPr>
            <w:tcW w:type="dxa" w:w="1134"/>
          </w:tcPr>
          <w:p>
            <w:pPr>
              <w:spacing w:after="40"/>
            </w:pPr>
            <w:r/>
            <w:r>
              <w:rPr>
                <w:b w:val="0"/>
                <w:sz w:val="20"/>
              </w:rPr>
              <w:t>3</w:t>
            </w:r>
          </w:p>
        </w:tc>
      </w:tr>
      <w:tr>
        <w:tc>
          <w:tcPr>
            <w:tcW w:type="dxa" w:w="794"/>
          </w:tcPr>
          <w:p>
            <w:pPr>
              <w:spacing w:after="40"/>
            </w:pPr>
            <w:r/>
            <w:r>
              <w:rPr>
                <w:b w:val="0"/>
                <w:sz w:val="20"/>
              </w:rPr>
              <w:t>B</w:t>
            </w:r>
          </w:p>
        </w:tc>
        <w:tc>
          <w:tcPr>
            <w:tcW w:type="dxa" w:w="6576"/>
          </w:tcPr>
          <w:p>
            <w:pPr>
              <w:spacing w:after="40"/>
            </w:pPr>
            <w:r/>
            <w:r>
              <w:rPr>
                <w:b w:val="0"/>
                <w:sz w:val="20"/>
              </w:rPr>
              <w:t>PROJECT C1 — Datasets 1 to 4</w:t>
            </w:r>
          </w:p>
        </w:tc>
        <w:tc>
          <w:tcPr>
            <w:tcW w:type="dxa" w:w="1134"/>
          </w:tcPr>
          <w:p>
            <w:pPr>
              <w:spacing w:after="40"/>
            </w:pPr>
            <w:r/>
            <w:r>
              <w:rPr>
                <w:b w:val="0"/>
                <w:sz w:val="20"/>
              </w:rPr>
              <w:t>4</w:t>
            </w:r>
          </w:p>
        </w:tc>
      </w:tr>
      <w:tr>
        <w:tc>
          <w:tcPr>
            <w:tcW w:type="dxa" w:w="794"/>
          </w:tcPr>
          <w:p>
            <w:pPr>
              <w:spacing w:after="40"/>
            </w:pPr>
            <w:r/>
            <w:r>
              <w:rPr>
                <w:b w:val="0"/>
                <w:sz w:val="20"/>
              </w:rPr>
              <w:t>C</w:t>
            </w:r>
          </w:p>
        </w:tc>
        <w:tc>
          <w:tcPr>
            <w:tcW w:type="dxa" w:w="6576"/>
          </w:tcPr>
          <w:p>
            <w:pPr>
              <w:spacing w:after="40"/>
            </w:pPr>
            <w:r/>
            <w:r>
              <w:rPr>
                <w:b w:val="0"/>
                <w:sz w:val="20"/>
              </w:rPr>
              <w:t>PROJECT C4 — Datasets 5 to 7</w:t>
            </w:r>
          </w:p>
        </w:tc>
        <w:tc>
          <w:tcPr>
            <w:tcW w:type="dxa" w:w="1134"/>
          </w:tcPr>
          <w:p>
            <w:pPr>
              <w:spacing w:after="40"/>
            </w:pPr>
            <w:r/>
            <w:r>
              <w:rPr>
                <w:b w:val="0"/>
                <w:sz w:val="20"/>
              </w:rPr>
              <w:t>10</w:t>
            </w:r>
          </w:p>
        </w:tc>
      </w:tr>
      <w:tr>
        <w:tc>
          <w:tcPr>
            <w:tcW w:type="dxa" w:w="794"/>
          </w:tcPr>
          <w:p>
            <w:pPr>
              <w:spacing w:after="40"/>
            </w:pPr>
            <w:r/>
            <w:r>
              <w:rPr>
                <w:b w:val="0"/>
                <w:sz w:val="20"/>
              </w:rPr>
              <w:t>D</w:t>
            </w:r>
          </w:p>
        </w:tc>
        <w:tc>
          <w:tcPr>
            <w:tcW w:type="dxa" w:w="6576"/>
          </w:tcPr>
          <w:p>
            <w:pPr>
              <w:spacing w:after="40"/>
            </w:pPr>
            <w:r/>
            <w:r>
              <w:rPr>
                <w:b w:val="0"/>
                <w:sz w:val="20"/>
              </w:rPr>
              <w:t>PROJECT C5 — Datasets 8 to 9</w:t>
            </w:r>
          </w:p>
        </w:tc>
        <w:tc>
          <w:tcPr>
            <w:tcW w:type="dxa" w:w="1134"/>
          </w:tcPr>
          <w:p>
            <w:pPr>
              <w:spacing w:after="40"/>
            </w:pPr>
            <w:r/>
            <w:r>
              <w:rPr>
                <w:b w:val="0"/>
                <w:sz w:val="20"/>
              </w:rPr>
              <w:t>14</w:t>
            </w:r>
          </w:p>
        </w:tc>
      </w:tr>
      <w:tr>
        <w:tc>
          <w:tcPr>
            <w:tcW w:type="dxa" w:w="794"/>
          </w:tcPr>
          <w:p>
            <w:pPr>
              <w:spacing w:after="40"/>
            </w:pPr>
            <w:r/>
            <w:r>
              <w:rPr>
                <w:b w:val="0"/>
                <w:sz w:val="20"/>
              </w:rPr>
              <w:t>E</w:t>
            </w:r>
          </w:p>
        </w:tc>
        <w:tc>
          <w:tcPr>
            <w:tcW w:type="dxa" w:w="6576"/>
          </w:tcPr>
          <w:p>
            <w:pPr>
              <w:spacing w:after="40"/>
            </w:pPr>
            <w:r/>
            <w:r>
              <w:rPr>
                <w:b w:val="0"/>
                <w:sz w:val="20"/>
              </w:rPr>
              <w:t>Cross-cutting: the research gap map</w:t>
            </w:r>
          </w:p>
        </w:tc>
        <w:tc>
          <w:tcPr>
            <w:tcW w:type="dxa" w:w="1134"/>
          </w:tcPr>
          <w:p>
            <w:pPr>
              <w:spacing w:after="40"/>
            </w:pPr>
            <w:r/>
            <w:r>
              <w:rPr>
                <w:b w:val="0"/>
                <w:sz w:val="20"/>
              </w:rPr>
              <w:t>17</w:t>
            </w:r>
          </w:p>
        </w:tc>
      </w:tr>
      <w:tr>
        <w:tc>
          <w:tcPr>
            <w:tcW w:type="dxa" w:w="794"/>
          </w:tcPr>
          <w:p>
            <w:pPr>
              <w:spacing w:after="40"/>
            </w:pPr>
            <w:r/>
            <w:r>
              <w:rPr>
                <w:b w:val="0"/>
                <w:sz w:val="20"/>
              </w:rPr>
              <w:t>F</w:t>
            </w:r>
          </w:p>
        </w:tc>
        <w:tc>
          <w:tcPr>
            <w:tcW w:type="dxa" w:w="6576"/>
          </w:tcPr>
          <w:p>
            <w:pPr>
              <w:spacing w:after="40"/>
            </w:pPr>
            <w:r/>
            <w:r>
              <w:rPr>
                <w:b w:val="0"/>
                <w:sz w:val="20"/>
              </w:rPr>
              <w:t>Public datasets you can download today</w:t>
            </w:r>
          </w:p>
        </w:tc>
        <w:tc>
          <w:tcPr>
            <w:tcW w:type="dxa" w:w="1134"/>
          </w:tcPr>
          <w:p>
            <w:pPr>
              <w:spacing w:after="40"/>
            </w:pPr>
            <w:r/>
            <w:r>
              <w:rPr>
                <w:b w:val="0"/>
                <w:sz w:val="20"/>
              </w:rPr>
              <w:t>18</w:t>
            </w:r>
          </w:p>
        </w:tc>
      </w:tr>
      <w:tr>
        <w:tc>
          <w:tcPr>
            <w:tcW w:type="dxa" w:w="794"/>
          </w:tcPr>
          <w:p>
            <w:pPr>
              <w:spacing w:after="40"/>
            </w:pPr>
            <w:r/>
            <w:r>
              <w:rPr>
                <w:b w:val="0"/>
                <w:sz w:val="20"/>
              </w:rPr>
              <w:t>G</w:t>
            </w:r>
          </w:p>
        </w:tc>
        <w:tc>
          <w:tcPr>
            <w:tcW w:type="dxa" w:w="6576"/>
          </w:tcPr>
          <w:p>
            <w:pPr>
              <w:spacing w:after="40"/>
            </w:pPr>
            <w:r/>
            <w:r>
              <w:rPr>
                <w:b w:val="0"/>
                <w:sz w:val="20"/>
              </w:rPr>
              <w:t>Source list</w:t>
            </w:r>
          </w:p>
        </w:tc>
        <w:tc>
          <w:tcPr>
            <w:tcW w:type="dxa" w:w="1134"/>
          </w:tcPr>
          <w:p>
            <w:pPr>
              <w:spacing w:after="40"/>
            </w:pPr>
            <w:r/>
            <w:r>
              <w:rPr>
                <w:b w:val="0"/>
                <w:sz w:val="20"/>
              </w:rPr>
              <w:t>19</w:t>
            </w:r>
          </w:p>
        </w:tc>
      </w:tr>
    </w:tbl>
    <w:p>
      <w:pPr>
        <w:spacing w:after="60"/>
      </w:pPr>
    </w:p>
    <w:p>
      <w:r>
        <w:br w:type="page"/>
      </w:r>
    </w:p>
    <w:p>
      <w:pPr>
        <w:pStyle w:val="Heading1"/>
      </w:pPr>
      <w:r>
        <w:t>PART A — HOW TO USE THIS DOCUMENT WITH EXCEL</w:t>
      </w:r>
    </w:p>
    <w:p>
      <w:pPr>
        <w:jc w:val="both"/>
      </w:pPr>
      <w:r>
        <w:rPr>
          <w:b w:val="0"/>
          <w:i w:val="0"/>
        </w:rPr>
        <w:t>Every chart in this document was produced from a small table. You can rebuild any of them in Excel in under five minutes. The general procedure is the same each time; only the chart type changes.</w:t>
      </w:r>
    </w:p>
    <w:p>
      <w:pPr>
        <w:pStyle w:val="Heading2"/>
      </w:pPr>
      <w:r>
        <w:t>A.1 The general procedure</w:t>
      </w: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any chart</w:t>
            </w:r>
          </w:p>
          <w:p>
            <w:pPr>
              <w:spacing w:after="40"/>
              <w:ind w:left="340"/>
              <w:jc w:val="both"/>
            </w:pPr>
            <w:r>
              <w:rPr>
                <w:b/>
                <w:sz w:val="19"/>
              </w:rPr>
              <w:t xml:space="preserve">1.  </w:t>
            </w:r>
            <w:r>
              <w:rPr>
                <w:sz w:val="19"/>
              </w:rPr>
              <w:t>Open MS Excel and create a new blank workbook.</w:t>
            </w:r>
          </w:p>
          <w:p>
            <w:pPr>
              <w:spacing w:after="40"/>
              <w:ind w:left="340"/>
              <w:jc w:val="both"/>
            </w:pPr>
            <w:r>
              <w:rPr>
                <w:b/>
                <w:sz w:val="19"/>
              </w:rPr>
              <w:t xml:space="preserve">2.  </w:t>
            </w:r>
            <w:r>
              <w:rPr>
                <w:sz w:val="19"/>
              </w:rPr>
              <w:t>Type the data table exactly as printed in this document, with the column headings in row 1 and the data starting in row 2. Put the labels (names) in column A and the numbers in columns B, C and so on.</w:t>
            </w:r>
          </w:p>
          <w:p>
            <w:pPr>
              <w:spacing w:after="40"/>
              <w:ind w:left="340"/>
              <w:jc w:val="both"/>
            </w:pPr>
            <w:r>
              <w:rPr>
                <w:b/>
                <w:sz w:val="19"/>
              </w:rPr>
              <w:t xml:space="preserve">3.  </w:t>
            </w:r>
            <w:r>
              <w:rPr>
                <w:sz w:val="19"/>
              </w:rPr>
              <w:t>Select the whole block including the headings. Click the top-left cell, hold Shift, click the bottom-right cell.</w:t>
            </w:r>
          </w:p>
          <w:p>
            <w:pPr>
              <w:spacing w:after="40"/>
              <w:ind w:left="340"/>
              <w:jc w:val="both"/>
            </w:pPr>
            <w:r>
              <w:rPr>
                <w:b/>
                <w:sz w:val="19"/>
              </w:rPr>
              <w:t xml:space="preserve">4.  </w:t>
            </w:r>
            <w:r>
              <w:rPr>
                <w:sz w:val="19"/>
              </w:rPr>
              <w:t>Go to the Insert ribbon at the top of the window.</w:t>
            </w:r>
          </w:p>
          <w:p>
            <w:pPr>
              <w:spacing w:after="40"/>
              <w:ind w:left="340"/>
              <w:jc w:val="both"/>
            </w:pPr>
            <w:r>
              <w:rPr>
                <w:b/>
                <w:sz w:val="19"/>
              </w:rPr>
              <w:t xml:space="preserve">5.  </w:t>
            </w:r>
            <w:r>
              <w:rPr>
                <w:sz w:val="19"/>
              </w:rPr>
              <w:t>In the Charts group, choose the chart type named for that dataset in this document (Column, Bar, Pie or Line).</w:t>
            </w:r>
          </w:p>
          <w:p>
            <w:pPr>
              <w:spacing w:after="40"/>
              <w:ind w:left="340"/>
              <w:jc w:val="both"/>
            </w:pPr>
            <w:r>
              <w:rPr>
                <w:b/>
                <w:sz w:val="19"/>
              </w:rPr>
              <w:t xml:space="preserve">6.  </w:t>
            </w:r>
            <w:r>
              <w:rPr>
                <w:sz w:val="19"/>
              </w:rPr>
              <w:t>The chart appears. Click it once to select it.</w:t>
            </w:r>
          </w:p>
          <w:p>
            <w:pPr>
              <w:spacing w:after="40"/>
              <w:ind w:left="340"/>
              <w:jc w:val="both"/>
            </w:pPr>
            <w:r>
              <w:rPr>
                <w:b/>
                <w:sz w:val="19"/>
              </w:rPr>
              <w:t xml:space="preserve">7.  </w:t>
            </w:r>
            <w:r>
              <w:rPr>
                <w:sz w:val="19"/>
              </w:rPr>
              <w:t>Click the + button at the top-right corner of the chart to add Chart Title, Axis Titles and Data Labels.</w:t>
            </w:r>
          </w:p>
          <w:p>
            <w:pPr>
              <w:spacing w:after="40"/>
              <w:ind w:left="340"/>
              <w:jc w:val="both"/>
            </w:pPr>
            <w:r>
              <w:rPr>
                <w:b/>
                <w:sz w:val="19"/>
              </w:rPr>
              <w:t xml:space="preserve">8.  </w:t>
            </w:r>
            <w:r>
              <w:rPr>
                <w:sz w:val="19"/>
              </w:rPr>
              <w:t>Right-click any bar or slice, choose Format Data Series, and set the colour.</w:t>
            </w:r>
          </w:p>
          <w:p>
            <w:pPr>
              <w:spacing w:after="40"/>
              <w:ind w:left="340"/>
              <w:jc w:val="both"/>
            </w:pPr>
            <w:r>
              <w:rPr>
                <w:b/>
                <w:sz w:val="19"/>
              </w:rPr>
              <w:t xml:space="preserve">9.  </w:t>
            </w:r>
            <w:r>
              <w:rPr>
                <w:sz w:val="19"/>
              </w:rPr>
              <w:t>To copy into Word: click the chart border, press Ctrl+C, then in Word press Ctrl+V.</w:t>
            </w:r>
          </w:p>
        </w:tc>
      </w:tr>
    </w:tbl>
    <w:p>
      <w:pPr>
        <w:spacing w:after="160"/>
      </w:pPr>
    </w:p>
    <w:p>
      <w:pPr>
        <w:pStyle w:val="Heading2"/>
      </w:pPr>
      <w:r>
        <w:t>A.2 Which chart type to use, and why</w:t>
      </w:r>
    </w:p>
    <w:tbl>
      <w:tblPr>
        <w:tblStyle w:val="TableGrid"/>
        <w:tblW w:type="auto" w:w="0"/>
        <w:jc w:val="center"/>
        <w:tblLook w:firstColumn="1" w:firstRow="1" w:lastColumn="0" w:lastRow="0" w:noHBand="0" w:noVBand="1" w:val="04A0"/>
      </w:tblPr>
      <w:tblGrid>
        <w:gridCol w:w="3118"/>
        <w:gridCol w:w="3118"/>
        <w:gridCol w:w="3118"/>
      </w:tblGrid>
      <w:tr>
        <w:tc>
          <w:tcPr>
            <w:tcW w:type="dxa" w:w="2041"/>
            <w:shd w:val="clear" w:color="auto" w:fill="1F3B5C"/>
          </w:tcPr>
          <w:p>
            <w:pPr>
              <w:jc w:val="center"/>
            </w:pPr>
            <w:r/>
            <w:r>
              <w:rPr>
                <w:b/>
                <w:color w:val="FFFFFF"/>
                <w:sz w:val="19"/>
              </w:rPr>
              <w:t>Chart type</w:t>
            </w:r>
          </w:p>
        </w:tc>
        <w:tc>
          <w:tcPr>
            <w:tcW w:type="dxa" w:w="3628"/>
            <w:shd w:val="clear" w:color="auto" w:fill="1F3B5C"/>
          </w:tcPr>
          <w:p>
            <w:pPr>
              <w:jc w:val="center"/>
            </w:pPr>
            <w:r/>
            <w:r>
              <w:rPr>
                <w:b/>
                <w:color w:val="FFFFFF"/>
                <w:sz w:val="19"/>
              </w:rPr>
              <w:t>Use it when</w:t>
            </w:r>
          </w:p>
        </w:tc>
        <w:tc>
          <w:tcPr>
            <w:tcW w:type="dxa" w:w="3402"/>
            <w:shd w:val="clear" w:color="auto" w:fill="1F3B5C"/>
          </w:tcPr>
          <w:p>
            <w:pPr>
              <w:jc w:val="center"/>
            </w:pPr>
            <w:r/>
            <w:r>
              <w:rPr>
                <w:b/>
                <w:color w:val="FFFFFF"/>
                <w:sz w:val="19"/>
              </w:rPr>
              <w:t>Example in this document</w:t>
            </w:r>
          </w:p>
        </w:tc>
      </w:tr>
      <w:tr>
        <w:tc>
          <w:tcPr>
            <w:tcW w:type="dxa" w:w="2041"/>
          </w:tcPr>
          <w:p>
            <w:pPr>
              <w:spacing w:after="40"/>
            </w:pPr>
            <w:r/>
            <w:r>
              <w:rPr>
                <w:b/>
                <w:sz w:val="19"/>
              </w:rPr>
              <w:t>Clustered Column</w:t>
            </w:r>
          </w:p>
        </w:tc>
        <w:tc>
          <w:tcPr>
            <w:tcW w:type="dxa" w:w="3628"/>
          </w:tcPr>
          <w:p>
            <w:pPr>
              <w:spacing w:after="40"/>
            </w:pPr>
            <w:r/>
            <w:r>
              <w:rPr>
                <w:b w:val="0"/>
                <w:sz w:val="19"/>
              </w:rPr>
              <w:t>Comparing a value across a few named categories</w:t>
            </w:r>
          </w:p>
        </w:tc>
        <w:tc>
          <w:tcPr>
            <w:tcW w:type="dxa" w:w="3402"/>
          </w:tcPr>
          <w:p>
            <w:pPr>
              <w:spacing w:after="40"/>
            </w:pPr>
            <w:r/>
            <w:r>
              <w:rPr>
                <w:b w:val="0"/>
                <w:sz w:val="19"/>
              </w:rPr>
              <w:t>Dataset 1 — plant standard deviation</w:t>
            </w:r>
          </w:p>
        </w:tc>
      </w:tr>
      <w:tr>
        <w:tc>
          <w:tcPr>
            <w:tcW w:type="dxa" w:w="2041"/>
          </w:tcPr>
          <w:p>
            <w:pPr>
              <w:spacing w:after="40"/>
            </w:pPr>
            <w:r/>
            <w:r>
              <w:rPr>
                <w:b/>
                <w:sz w:val="19"/>
              </w:rPr>
              <w:t>Bar (horizontal)</w:t>
            </w:r>
          </w:p>
        </w:tc>
        <w:tc>
          <w:tcPr>
            <w:tcW w:type="dxa" w:w="3628"/>
          </w:tcPr>
          <w:p>
            <w:pPr>
              <w:spacing w:after="40"/>
            </w:pPr>
            <w:r/>
            <w:r>
              <w:rPr>
                <w:b w:val="0"/>
                <w:sz w:val="19"/>
              </w:rPr>
              <w:t>Category names are long and would not fit under a column</w:t>
            </w:r>
          </w:p>
        </w:tc>
        <w:tc>
          <w:tcPr>
            <w:tcW w:type="dxa" w:w="3402"/>
          </w:tcPr>
          <w:p>
            <w:pPr>
              <w:spacing w:after="40"/>
            </w:pPr>
            <w:r/>
            <w:r>
              <w:rPr>
                <w:b w:val="0"/>
                <w:sz w:val="19"/>
              </w:rPr>
              <w:t>Dataset 10 — research gap map</w:t>
            </w:r>
          </w:p>
        </w:tc>
      </w:tr>
      <w:tr>
        <w:tc>
          <w:tcPr>
            <w:tcW w:type="dxa" w:w="2041"/>
          </w:tcPr>
          <w:p>
            <w:pPr>
              <w:spacing w:after="40"/>
            </w:pPr>
            <w:r/>
            <w:r>
              <w:rPr>
                <w:b/>
                <w:sz w:val="19"/>
              </w:rPr>
              <w:t>Pie</w:t>
            </w:r>
          </w:p>
        </w:tc>
        <w:tc>
          <w:tcPr>
            <w:tcW w:type="dxa" w:w="3628"/>
          </w:tcPr>
          <w:p>
            <w:pPr>
              <w:spacing w:after="40"/>
            </w:pPr>
            <w:r/>
            <w:r>
              <w:rPr>
                <w:b w:val="0"/>
                <w:sz w:val="19"/>
              </w:rPr>
              <w:t>Showing how one total divides into parts. Never use for more than about six slices</w:t>
            </w:r>
          </w:p>
        </w:tc>
        <w:tc>
          <w:tcPr>
            <w:tcW w:type="dxa" w:w="3402"/>
          </w:tcPr>
          <w:p>
            <w:pPr>
              <w:spacing w:after="40"/>
            </w:pPr>
            <w:r/>
            <w:r>
              <w:rPr>
                <w:b w:val="0"/>
                <w:sz w:val="19"/>
              </w:rPr>
              <w:t>Dataset 6 — cost composition</w:t>
            </w:r>
          </w:p>
        </w:tc>
      </w:tr>
      <w:tr>
        <w:tc>
          <w:tcPr>
            <w:tcW w:type="dxa" w:w="2041"/>
          </w:tcPr>
          <w:p>
            <w:pPr>
              <w:spacing w:after="40"/>
            </w:pPr>
            <w:r/>
            <w:r>
              <w:rPr>
                <w:b/>
                <w:sz w:val="19"/>
              </w:rPr>
              <w:t>Line</w:t>
            </w:r>
          </w:p>
        </w:tc>
        <w:tc>
          <w:tcPr>
            <w:tcW w:type="dxa" w:w="3628"/>
          </w:tcPr>
          <w:p>
            <w:pPr>
              <w:spacing w:after="40"/>
            </w:pPr>
            <w:r/>
            <w:r>
              <w:rPr>
                <w:b w:val="0"/>
                <w:sz w:val="19"/>
              </w:rPr>
              <w:t>Showing how something changes over a continuous variable such as time or age</w:t>
            </w:r>
          </w:p>
        </w:tc>
        <w:tc>
          <w:tcPr>
            <w:tcW w:type="dxa" w:w="3402"/>
          </w:tcPr>
          <w:p>
            <w:pPr>
              <w:spacing w:after="40"/>
            </w:pPr>
            <w:r/>
            <w:r>
              <w:rPr>
                <w:b w:val="0"/>
                <w:sz w:val="19"/>
              </w:rPr>
              <w:t>Dataset 3 — strength gain with age</w:t>
            </w:r>
          </w:p>
        </w:tc>
      </w:tr>
      <w:tr>
        <w:tc>
          <w:tcPr>
            <w:tcW w:type="dxa" w:w="2041"/>
          </w:tcPr>
          <w:p>
            <w:pPr>
              <w:spacing w:after="40"/>
            </w:pPr>
            <w:r/>
            <w:r>
              <w:rPr>
                <w:b/>
                <w:sz w:val="19"/>
              </w:rPr>
              <w:t>Scatter with straight lines</w:t>
            </w:r>
          </w:p>
        </w:tc>
        <w:tc>
          <w:tcPr>
            <w:tcW w:type="dxa" w:w="3628"/>
          </w:tcPr>
          <w:p>
            <w:pPr>
              <w:spacing w:after="40"/>
            </w:pPr>
            <w:r/>
            <w:r>
              <w:rPr>
                <w:b w:val="0"/>
                <w:sz w:val="19"/>
              </w:rPr>
              <w:t>Same as line, but when the x-values are unevenly spaced (for example 1, 3, 7, 14, 28 days)</w:t>
            </w:r>
          </w:p>
        </w:tc>
        <w:tc>
          <w:tcPr>
            <w:tcW w:type="dxa" w:w="3402"/>
          </w:tcPr>
          <w:p>
            <w:pPr>
              <w:spacing w:after="40"/>
            </w:pPr>
            <w:r/>
            <w:r>
              <w:rPr>
                <w:b w:val="0"/>
                <w:sz w:val="19"/>
              </w:rPr>
              <w:t>Dataset 3 is better drawn this way</w:t>
            </w:r>
          </w:p>
        </w:tc>
      </w:tr>
    </w:tbl>
    <w:p>
      <w:pPr>
        <w:spacing w:after="60"/>
      </w:pPr>
    </w:p>
    <w:tbl>
      <w:tblPr>
        <w:tblStyle w:val="TableGrid"/>
        <w:tblW w:type="auto" w:w="0"/>
        <w:tblLook w:firstColumn="1" w:firstRow="1" w:lastColumn="0" w:lastRow="0" w:noHBand="0" w:noVBand="1" w:val="04A0"/>
      </w:tblPr>
      <w:tblGrid>
        <w:gridCol w:w="9355"/>
      </w:tblGrid>
      <w:tr>
        <w:tc>
          <w:tcPr>
            <w:tcW w:type="dxa" w:w="9071"/>
            <w:shd w:val="clear" w:color="auto" w:fill="FBE6E4"/>
          </w:tcPr>
          <w:p>
            <w:pPr>
              <w:spacing w:after="60"/>
            </w:pPr>
            <w:r/>
            <w:r>
              <w:rPr>
                <w:b/>
                <w:color w:val="B3261E"/>
                <w:sz w:val="21"/>
              </w:rPr>
              <w:t>One common Excel mistake</w:t>
            </w:r>
          </w:p>
          <w:p>
            <w:pPr>
              <w:jc w:val="both"/>
            </w:pPr>
            <w:r>
              <w:rPr>
                <w:sz w:val="20"/>
              </w:rPr>
              <w:t>If your x-axis values are unevenly spaced — like concrete test ages 1, 3, 7, 14, 28 days — do NOT use a Line chart. Excel will space them equally and distort the shape of the curve. Use 'Scatter with Straight Lines and Markers' instead, which places them at their true positions.</w:t>
            </w:r>
          </w:p>
        </w:tc>
      </w:tr>
    </w:tbl>
    <w:p>
      <w:pPr>
        <w:spacing w:after="120"/>
      </w:pPr>
    </w:p>
    <w:p>
      <w:r>
        <w:br w:type="page"/>
      </w:r>
    </w:p>
    <w:p>
      <w:pPr>
        <w:pStyle w:val="Heading1"/>
      </w:pPr>
      <w:r>
        <w:t>PART B — PROJECT C1: EARLY-AGE STRENGTH PREDICTION</w:t>
      </w:r>
    </w:p>
    <w:p>
      <w:pPr>
        <w:pStyle w:val="Heading2"/>
      </w:pPr>
      <w:r>
        <w:t>Dataset 1 — Strength variability across Indian RMC plants</w:t>
      </w:r>
    </w:p>
    <w:p>
      <w:pPr>
        <w:jc w:val="both"/>
      </w:pPr>
      <w:r>
        <w:rPr>
          <w:b w:val="0"/>
          <w:i w:val="0"/>
        </w:rPr>
        <w:t>This is the foundational evidence for the whole project. It shows how much concrete strength varies between plants in India, and it contains a surprising result.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247"/>
            <w:shd w:val="clear" w:color="auto" w:fill="1F3B5C"/>
          </w:tcPr>
          <w:p>
            <w:pPr>
              <w:jc w:val="center"/>
            </w:pPr>
            <w:r/>
            <w:r>
              <w:rPr>
                <w:b/>
                <w:color w:val="FFFFFF"/>
                <w:sz w:val="18"/>
              </w:rPr>
              <w:t>Plant</w:t>
            </w:r>
          </w:p>
        </w:tc>
        <w:tc>
          <w:tcPr>
            <w:tcW w:type="dxa" w:w="3515"/>
            <w:shd w:val="clear" w:color="auto" w:fill="1F3B5C"/>
          </w:tcPr>
          <w:p>
            <w:pPr>
              <w:jc w:val="center"/>
            </w:pPr>
            <w:r/>
            <w:r>
              <w:rPr>
                <w:b/>
                <w:color w:val="FFFFFF"/>
                <w:sz w:val="18"/>
              </w:rPr>
              <w:t>Type</w:t>
            </w:r>
          </w:p>
        </w:tc>
        <w:tc>
          <w:tcPr>
            <w:tcW w:type="dxa" w:w="1701"/>
            <w:shd w:val="clear" w:color="auto" w:fill="1F3B5C"/>
          </w:tcPr>
          <w:p>
            <w:pPr>
              <w:jc w:val="center"/>
            </w:pPr>
            <w:r/>
            <w:r>
              <w:rPr>
                <w:b/>
                <w:color w:val="FFFFFF"/>
                <w:sz w:val="18"/>
              </w:rPr>
              <w:t>Std deviation σ (MPa)</w:t>
            </w:r>
          </w:p>
        </w:tc>
        <w:tc>
          <w:tcPr>
            <w:tcW w:type="dxa" w:w="1474"/>
            <w:shd w:val="clear" w:color="auto" w:fill="1F3B5C"/>
          </w:tcPr>
          <w:p>
            <w:pPr>
              <w:jc w:val="center"/>
            </w:pPr>
            <w:r/>
            <w:r>
              <w:rPr>
                <w:b/>
                <w:color w:val="FFFFFF"/>
                <w:sz w:val="18"/>
              </w:rPr>
              <w:t>Coeff. of variation</w:t>
            </w:r>
          </w:p>
        </w:tc>
        <w:tc>
          <w:tcPr>
            <w:tcW w:type="dxa" w:w="1134"/>
            <w:shd w:val="clear" w:color="auto" w:fill="1F3B5C"/>
          </w:tcPr>
          <w:p>
            <w:pPr>
              <w:jc w:val="center"/>
            </w:pPr>
            <w:r/>
            <w:r>
              <w:rPr>
                <w:b/>
                <w:color w:val="FFFFFF"/>
                <w:sz w:val="18"/>
              </w:rPr>
              <w:t>Origin</w:t>
            </w:r>
          </w:p>
        </w:tc>
      </w:tr>
      <w:tr>
        <w:tc>
          <w:tcPr>
            <w:tcW w:type="dxa" w:w="1247"/>
          </w:tcPr>
          <w:p>
            <w:pPr>
              <w:spacing w:after="40"/>
            </w:pPr>
            <w:r/>
            <w:r>
              <w:rPr>
                <w:b w:val="0"/>
                <w:sz w:val="18"/>
              </w:rPr>
              <w:t>Case 2</w:t>
            </w:r>
          </w:p>
        </w:tc>
        <w:tc>
          <w:tcPr>
            <w:tcW w:type="dxa" w:w="3515"/>
          </w:tcPr>
          <w:p>
            <w:pPr>
              <w:spacing w:after="40"/>
            </w:pPr>
            <w:r/>
            <w:r>
              <w:rPr>
                <w:b w:val="0"/>
                <w:sz w:val="18"/>
              </w:rPr>
              <w:t>Semi-automatic, small (600–900 m³/month)</w:t>
            </w:r>
          </w:p>
        </w:tc>
        <w:tc>
          <w:tcPr>
            <w:tcW w:type="dxa" w:w="1701"/>
          </w:tcPr>
          <w:p>
            <w:pPr>
              <w:spacing w:after="40"/>
            </w:pPr>
            <w:r/>
            <w:r>
              <w:rPr>
                <w:b/>
                <w:sz w:val="18"/>
              </w:rPr>
              <w:t>1.92</w:t>
            </w:r>
          </w:p>
        </w:tc>
        <w:tc>
          <w:tcPr>
            <w:tcW w:type="dxa" w:w="1474"/>
          </w:tcPr>
          <w:p>
            <w:pPr>
              <w:spacing w:after="40"/>
            </w:pPr>
            <w:r/>
            <w:r>
              <w:rPr>
                <w:b w:val="0"/>
                <w:sz w:val="18"/>
              </w:rPr>
              <w:t>0.068</w:t>
            </w:r>
          </w:p>
        </w:tc>
        <w:tc>
          <w:tcPr>
            <w:tcW w:type="dxa" w:w="1134"/>
          </w:tcPr>
          <w:p>
            <w:pPr>
              <w:spacing w:after="40"/>
            </w:pPr>
            <w:r/>
            <w:r>
              <w:rPr>
                <w:b w:val="0"/>
                <w:sz w:val="18"/>
              </w:rPr>
              <w:t>[S]</w:t>
            </w:r>
          </w:p>
        </w:tc>
      </w:tr>
      <w:tr>
        <w:tc>
          <w:tcPr>
            <w:tcW w:type="dxa" w:w="1247"/>
          </w:tcPr>
          <w:p>
            <w:pPr>
              <w:spacing w:after="40"/>
            </w:pPr>
            <w:r/>
            <w:r>
              <w:rPr>
                <w:b w:val="0"/>
                <w:sz w:val="18"/>
              </w:rPr>
              <w:t>Case 4</w:t>
            </w:r>
          </w:p>
        </w:tc>
        <w:tc>
          <w:tcPr>
            <w:tcW w:type="dxa" w:w="3515"/>
          </w:tcPr>
          <w:p>
            <w:pPr>
              <w:spacing w:after="40"/>
            </w:pPr>
            <w:r/>
            <w:r>
              <w:rPr>
                <w:b w:val="0"/>
                <w:sz w:val="18"/>
              </w:rPr>
              <w:t>Commercial</w:t>
            </w:r>
          </w:p>
        </w:tc>
        <w:tc>
          <w:tcPr>
            <w:tcW w:type="dxa" w:w="1701"/>
          </w:tcPr>
          <w:p>
            <w:pPr>
              <w:spacing w:after="40"/>
            </w:pPr>
            <w:r/>
            <w:r>
              <w:rPr>
                <w:b w:val="0"/>
                <w:sz w:val="18"/>
              </w:rPr>
              <w:t>4.10</w:t>
            </w:r>
          </w:p>
        </w:tc>
        <w:tc>
          <w:tcPr>
            <w:tcW w:type="dxa" w:w="1474"/>
          </w:tcPr>
          <w:p>
            <w:pPr>
              <w:spacing w:after="40"/>
            </w:pPr>
            <w:r/>
            <w:r>
              <w:rPr>
                <w:b w:val="0"/>
                <w:sz w:val="18"/>
              </w:rPr>
              <w:t>0.116</w:t>
            </w:r>
          </w:p>
        </w:tc>
        <w:tc>
          <w:tcPr>
            <w:tcW w:type="dxa" w:w="1134"/>
          </w:tcPr>
          <w:p>
            <w:pPr>
              <w:spacing w:after="40"/>
            </w:pPr>
            <w:r/>
            <w:r>
              <w:rPr>
                <w:b w:val="0"/>
                <w:sz w:val="18"/>
              </w:rPr>
              <w:t>[I] within published range</w:t>
            </w:r>
          </w:p>
        </w:tc>
      </w:tr>
      <w:tr>
        <w:tc>
          <w:tcPr>
            <w:tcW w:type="dxa" w:w="1247"/>
          </w:tcPr>
          <w:p>
            <w:pPr>
              <w:spacing w:after="40"/>
            </w:pPr>
            <w:r/>
            <w:r>
              <w:rPr>
                <w:b w:val="0"/>
                <w:sz w:val="18"/>
              </w:rPr>
              <w:t>Case 1</w:t>
            </w:r>
          </w:p>
        </w:tc>
        <w:tc>
          <w:tcPr>
            <w:tcW w:type="dxa" w:w="3515"/>
          </w:tcPr>
          <w:p>
            <w:pPr>
              <w:spacing w:after="40"/>
            </w:pPr>
            <w:r/>
            <w:r>
              <w:rPr>
                <w:b w:val="0"/>
                <w:sz w:val="18"/>
              </w:rPr>
              <w:t>Commercial</w:t>
            </w:r>
          </w:p>
        </w:tc>
        <w:tc>
          <w:tcPr>
            <w:tcW w:type="dxa" w:w="1701"/>
          </w:tcPr>
          <w:p>
            <w:pPr>
              <w:spacing w:after="40"/>
            </w:pPr>
            <w:r/>
            <w:r>
              <w:rPr>
                <w:b w:val="0"/>
                <w:sz w:val="18"/>
              </w:rPr>
              <w:t>5.30</w:t>
            </w:r>
          </w:p>
        </w:tc>
        <w:tc>
          <w:tcPr>
            <w:tcW w:type="dxa" w:w="1474"/>
          </w:tcPr>
          <w:p>
            <w:pPr>
              <w:spacing w:after="40"/>
            </w:pPr>
            <w:r/>
            <w:r>
              <w:rPr>
                <w:b w:val="0"/>
                <w:sz w:val="18"/>
              </w:rPr>
              <w:t>0.118</w:t>
            </w:r>
          </w:p>
        </w:tc>
        <w:tc>
          <w:tcPr>
            <w:tcW w:type="dxa" w:w="1134"/>
          </w:tcPr>
          <w:p>
            <w:pPr>
              <w:spacing w:after="40"/>
            </w:pPr>
            <w:r/>
            <w:r>
              <w:rPr>
                <w:b w:val="0"/>
                <w:sz w:val="18"/>
              </w:rPr>
              <w:t>[I] within published range</w:t>
            </w:r>
          </w:p>
        </w:tc>
      </w:tr>
      <w:tr>
        <w:tc>
          <w:tcPr>
            <w:tcW w:type="dxa" w:w="1247"/>
          </w:tcPr>
          <w:p>
            <w:pPr>
              <w:spacing w:after="40"/>
            </w:pPr>
            <w:r/>
            <w:r>
              <w:rPr>
                <w:b w:val="0"/>
                <w:sz w:val="18"/>
              </w:rPr>
              <w:t>Case 3</w:t>
            </w:r>
          </w:p>
        </w:tc>
        <w:tc>
          <w:tcPr>
            <w:tcW w:type="dxa" w:w="3515"/>
          </w:tcPr>
          <w:p>
            <w:pPr>
              <w:spacing w:after="40"/>
            </w:pPr>
            <w:r/>
            <w:r>
              <w:rPr>
                <w:b w:val="0"/>
                <w:sz w:val="18"/>
              </w:rPr>
              <w:t>Fully automatic, imported equipment (500–800 m³/day)</w:t>
            </w:r>
          </w:p>
        </w:tc>
        <w:tc>
          <w:tcPr>
            <w:tcW w:type="dxa" w:w="1701"/>
          </w:tcPr>
          <w:p>
            <w:pPr>
              <w:spacing w:after="40"/>
            </w:pPr>
            <w:r/>
            <w:r>
              <w:rPr>
                <w:b w:val="0"/>
                <w:color w:val="B3261E"/>
                <w:sz w:val="18"/>
              </w:rPr>
              <w:t>6.57</w:t>
            </w:r>
          </w:p>
        </w:tc>
        <w:tc>
          <w:tcPr>
            <w:tcW w:type="dxa" w:w="1474"/>
          </w:tcPr>
          <w:p>
            <w:pPr>
              <w:spacing w:after="40"/>
            </w:pPr>
            <w:r/>
            <w:r>
              <w:rPr>
                <w:b w:val="0"/>
                <w:sz w:val="18"/>
              </w:rPr>
              <w:t>0.131</w:t>
            </w:r>
          </w:p>
        </w:tc>
        <w:tc>
          <w:tcPr>
            <w:tcW w:type="dxa" w:w="1134"/>
          </w:tcPr>
          <w:p>
            <w:pPr>
              <w:spacing w:after="40"/>
            </w:pPr>
            <w:r/>
            <w:r>
              <w:rPr>
                <w:b w:val="0"/>
                <w:sz w:val="18"/>
              </w:rPr>
              <w:t>[S]</w:t>
            </w:r>
          </w:p>
        </w:tc>
      </w:tr>
      <w:tr>
        <w:tc>
          <w:tcPr>
            <w:tcW w:type="dxa" w:w="1247"/>
          </w:tcPr>
          <w:p>
            <w:pPr>
              <w:spacing w:after="40"/>
            </w:pPr>
            <w:r/>
            <w:r>
              <w:rPr>
                <w:b/>
                <w:sz w:val="18"/>
              </w:rPr>
              <w:t>IS 456 assumed</w:t>
            </w:r>
          </w:p>
        </w:tc>
        <w:tc>
          <w:tcPr>
            <w:tcW w:type="dxa" w:w="3515"/>
          </w:tcPr>
          <w:p>
            <w:pPr>
              <w:spacing w:after="40"/>
            </w:pPr>
            <w:r/>
            <w:r>
              <w:rPr>
                <w:b w:val="0"/>
                <w:sz w:val="18"/>
              </w:rPr>
              <w:t>Design assumption for M25–M55</w:t>
            </w:r>
          </w:p>
        </w:tc>
        <w:tc>
          <w:tcPr>
            <w:tcW w:type="dxa" w:w="1701"/>
          </w:tcPr>
          <w:p>
            <w:pPr>
              <w:spacing w:after="40"/>
            </w:pPr>
            <w:r/>
            <w:r>
              <w:rPr>
                <w:b/>
                <w:sz w:val="18"/>
              </w:rPr>
              <w:t>4.00</w:t>
            </w:r>
          </w:p>
        </w:tc>
        <w:tc>
          <w:tcPr>
            <w:tcW w:type="dxa" w:w="1474"/>
          </w:tcPr>
          <w:p>
            <w:pPr>
              <w:spacing w:after="40"/>
            </w:pPr>
            <w:r/>
            <w:r>
              <w:rPr>
                <w:b w:val="0"/>
                <w:sz w:val="18"/>
              </w:rPr>
              <w:t>—</w:t>
            </w:r>
          </w:p>
        </w:tc>
        <w:tc>
          <w:tcPr>
            <w:tcW w:type="dxa" w:w="1134"/>
          </w:tcPr>
          <w:p>
            <w:pPr>
              <w:spacing w:after="40"/>
            </w:pPr>
            <w:r/>
            <w:r>
              <w:rPr>
                <w:b w:val="0"/>
                <w:sz w:val="18"/>
              </w:rPr>
              <w:t>[S]</w:t>
            </w:r>
          </w:p>
        </w:tc>
      </w:tr>
    </w:tbl>
    <w:p>
      <w:pPr>
        <w:spacing w:after="60"/>
      </w:pPr>
    </w:p>
    <w:p>
      <w:pPr>
        <w:jc w:val="center"/>
      </w:pPr>
      <w:r>
        <w:drawing>
          <wp:inline xmlns:a="http://schemas.openxmlformats.org/drawingml/2006/main" xmlns:pic="http://schemas.openxmlformats.org/drawingml/2006/picture">
            <wp:extent cx="5580000" cy="2440545"/>
            <wp:docPr id="1" name="Picture 1"/>
            <wp:cNvGraphicFramePr>
              <a:graphicFrameLocks noChangeAspect="1"/>
            </wp:cNvGraphicFramePr>
            <a:graphic>
              <a:graphicData uri="http://schemas.openxmlformats.org/drawingml/2006/picture">
                <pic:pic>
                  <pic:nvPicPr>
                    <pic:cNvPr id="0" name="fig1_plant_sigma.png"/>
                    <pic:cNvPicPr/>
                  </pic:nvPicPr>
                  <pic:blipFill>
                    <a:blip r:embed="rId9"/>
                    <a:stretch>
                      <a:fillRect/>
                    </a:stretch>
                  </pic:blipFill>
                  <pic:spPr>
                    <a:xfrm>
                      <a:off x="0" y="0"/>
                      <a:ext cx="5580000" cy="2440545"/>
                    </a:xfrm>
                    <a:prstGeom prst="rect"/>
                  </pic:spPr>
                </pic:pic>
              </a:graphicData>
            </a:graphic>
          </wp:inline>
        </w:drawing>
      </w:r>
    </w:p>
    <w:p>
      <w:pPr>
        <w:spacing w:after="200"/>
        <w:jc w:val="center"/>
      </w:pPr>
      <w:r>
        <w:rPr>
          <w:i/>
          <w:color w:val="5D6B7A"/>
          <w:sz w:val="17"/>
        </w:rPr>
        <w:t>Figure 1 — Plant variability. Source: NBM&amp;CW quality-control model study.</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The research gap this exposes</w:t>
            </w:r>
          </w:p>
          <w:p>
            <w:pPr>
              <w:jc w:val="both"/>
            </w:pPr>
            <w:r>
              <w:rPr>
                <w:sz w:val="20"/>
              </w:rPr>
              <w:t>The fully automatic plant with imported equipment had the WORST consistency; the small semi-automatic plant had the BEST. Concrete quality is therefore not limited by equipment. It is limited by information and control. No published Indian study provides a method to estimate a plant's true σ continuously and adapt to it — which is precisely the gap Project C1 and C2 address.</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1 (Clustered Column)</w:t>
            </w:r>
          </w:p>
          <w:p>
            <w:pPr>
              <w:spacing w:after="40"/>
              <w:ind w:left="340"/>
              <w:jc w:val="both"/>
            </w:pPr>
            <w:r>
              <w:rPr>
                <w:b/>
                <w:sz w:val="19"/>
              </w:rPr>
              <w:t xml:space="preserve">1.  </w:t>
            </w:r>
            <w:r>
              <w:rPr>
                <w:sz w:val="19"/>
              </w:rPr>
              <w:t>Enter the table in cells A1:C6. Column A = Plant, column B = σ (MPa), column C = Coefficient of variation.</w:t>
            </w:r>
          </w:p>
          <w:p>
            <w:pPr>
              <w:spacing w:after="40"/>
              <w:ind w:left="340"/>
              <w:jc w:val="both"/>
            </w:pPr>
            <w:r>
              <w:rPr>
                <w:b/>
                <w:sz w:val="19"/>
              </w:rPr>
              <w:t xml:space="preserve">2.  </w:t>
            </w:r>
            <w:r>
              <w:rPr>
                <w:sz w:val="19"/>
              </w:rPr>
              <w:t>Select A1:B6 only (the plant names and σ values).</w:t>
            </w:r>
          </w:p>
          <w:p>
            <w:pPr>
              <w:spacing w:after="40"/>
              <w:ind w:left="340"/>
              <w:jc w:val="both"/>
            </w:pPr>
            <w:r>
              <w:rPr>
                <w:b/>
                <w:sz w:val="19"/>
              </w:rPr>
              <w:t xml:space="preserve">3.  </w:t>
            </w:r>
            <w:r>
              <w:rPr>
                <w:sz w:val="19"/>
              </w:rPr>
              <w:t>Insert ribbon → Charts group → Insert Column or Bar Chart → Clustered Column.</w:t>
            </w:r>
          </w:p>
          <w:p>
            <w:pPr>
              <w:spacing w:after="40"/>
              <w:ind w:left="340"/>
              <w:jc w:val="both"/>
            </w:pPr>
            <w:r>
              <w:rPr>
                <w:b/>
                <w:sz w:val="19"/>
              </w:rPr>
              <w:t xml:space="preserve">4.  </w:t>
            </w:r>
            <w:r>
              <w:rPr>
                <w:sz w:val="19"/>
              </w:rPr>
              <w:t>Click + at the chart corner → tick Data Labels, Axis Titles and Chart Title.</w:t>
            </w:r>
          </w:p>
          <w:p>
            <w:pPr>
              <w:spacing w:after="40"/>
              <w:ind w:left="340"/>
              <w:jc w:val="both"/>
            </w:pPr>
            <w:r>
              <w:rPr>
                <w:b/>
                <w:sz w:val="19"/>
              </w:rPr>
              <w:t xml:space="preserve">5.  </w:t>
            </w:r>
            <w:r>
              <w:rPr>
                <w:sz w:val="19"/>
              </w:rPr>
              <w:t>Set the vertical axis title to 'Standard deviation, σ (MPa)'.</w:t>
            </w:r>
          </w:p>
          <w:p>
            <w:pPr>
              <w:spacing w:after="40"/>
              <w:ind w:left="340"/>
              <w:jc w:val="both"/>
            </w:pPr>
            <w:r>
              <w:rPr>
                <w:b/>
                <w:sz w:val="19"/>
              </w:rPr>
              <w:t xml:space="preserve">6.  </w:t>
            </w:r>
            <w:r>
              <w:rPr>
                <w:sz w:val="19"/>
              </w:rPr>
              <w:t>To add the IS 456 reference line: in an empty column D, enter 4.0 beside every row. Right-click the chart → Select Data → Add → select D2:D6. Then right-click the new series → Change Series Chart Type → Line. Format it as a dashed grey line.</w:t>
            </w:r>
          </w:p>
          <w:p>
            <w:pPr>
              <w:spacing w:after="40"/>
              <w:ind w:left="340"/>
              <w:jc w:val="both"/>
            </w:pPr>
            <w:r>
              <w:rPr>
                <w:b/>
                <w:sz w:val="19"/>
              </w:rPr>
              <w:t xml:space="preserve">7.  </w:t>
            </w:r>
            <w:r>
              <w:rPr>
                <w:sz w:val="19"/>
              </w:rPr>
              <w:t>Right-click the σ bars → Format Data Series → Fill → choose green for the lowest and red for the highest to make the paradox visible.</w:t>
            </w:r>
          </w:p>
          <w:p>
            <w:pPr>
              <w:spacing w:after="40"/>
              <w:ind w:left="340"/>
              <w:jc w:val="both"/>
            </w:pPr>
            <w:r>
              <w:rPr>
                <w:b/>
                <w:sz w:val="19"/>
              </w:rPr>
              <w:t xml:space="preserve">8.  </w:t>
            </w:r>
            <w:r>
              <w:rPr>
                <w:sz w:val="19"/>
              </w:rPr>
              <w:t>Repeat with column C on a second chart for the coefficient of variation.</w:t>
            </w:r>
          </w:p>
        </w:tc>
      </w:tr>
    </w:tbl>
    <w:p>
      <w:pPr>
        <w:spacing w:after="160"/>
      </w:pPr>
    </w:p>
    <w:p>
      <w:r>
        <w:br w:type="page"/>
      </w:r>
    </w:p>
    <w:p>
      <w:pPr>
        <w:pStyle w:val="Heading2"/>
      </w:pPr>
      <w:r>
        <w:t>Dataset 2 — The cost of not knowing your true σ</w:t>
      </w:r>
    </w:p>
    <w:p>
      <w:pPr>
        <w:jc w:val="both"/>
      </w:pPr>
      <w:r>
        <w:rPr>
          <w:b w:val="0"/>
          <w:i w:val="0"/>
        </w:rPr>
        <w:t>IS 456 requires the target mean strength to exceed the specified grade by 1.65σ. A plant with poor consistency must therefore add extra cement to every cubic metre, forever.</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587"/>
            <w:shd w:val="clear" w:color="auto" w:fill="1F3B5C"/>
          </w:tcPr>
          <w:p>
            <w:pPr>
              <w:jc w:val="center"/>
            </w:pPr>
            <w:r/>
            <w:r>
              <w:rPr>
                <w:b/>
                <w:color w:val="FFFFFF"/>
                <w:sz w:val="18"/>
              </w:rPr>
              <w:t>Plant σ (MPa)</w:t>
            </w:r>
          </w:p>
        </w:tc>
        <w:tc>
          <w:tcPr>
            <w:tcW w:type="dxa" w:w="2381"/>
            <w:shd w:val="clear" w:color="auto" w:fill="1F3B5C"/>
          </w:tcPr>
          <w:p>
            <w:pPr>
              <w:jc w:val="center"/>
            </w:pPr>
            <w:r/>
            <w:r>
              <w:rPr>
                <w:b/>
                <w:color w:val="FFFFFF"/>
                <w:sz w:val="18"/>
              </w:rPr>
              <w:t>Required margin 1.65σ (MPa)</w:t>
            </w:r>
          </w:p>
        </w:tc>
        <w:tc>
          <w:tcPr>
            <w:tcW w:type="dxa" w:w="1928"/>
            <w:shd w:val="clear" w:color="auto" w:fill="1F3B5C"/>
          </w:tcPr>
          <w:p>
            <w:pPr>
              <w:jc w:val="center"/>
            </w:pPr>
            <w:r/>
            <w:r>
              <w:rPr>
                <w:b/>
                <w:color w:val="FFFFFF"/>
                <w:sz w:val="18"/>
              </w:rPr>
              <w:t>Extra cement (kg/m³)</w:t>
            </w:r>
          </w:p>
        </w:tc>
        <w:tc>
          <w:tcPr>
            <w:tcW w:type="dxa" w:w="1701"/>
            <w:shd w:val="clear" w:color="auto" w:fill="1F3B5C"/>
          </w:tcPr>
          <w:p>
            <w:pPr>
              <w:jc w:val="center"/>
            </w:pPr>
            <w:r/>
            <w:r>
              <w:rPr>
                <w:b/>
                <w:color w:val="FFFFFF"/>
                <w:sz w:val="18"/>
              </w:rPr>
              <w:t>Extra CO₂ (kg/m³)</w:t>
            </w:r>
          </w:p>
        </w:tc>
        <w:tc>
          <w:tcPr>
            <w:tcW w:type="dxa" w:w="1474"/>
            <w:shd w:val="clear" w:color="auto" w:fill="1F3B5C"/>
          </w:tcPr>
          <w:p>
            <w:pPr>
              <w:jc w:val="center"/>
            </w:pPr>
            <w:r/>
            <w:r>
              <w:rPr>
                <w:b/>
                <w:color w:val="FFFFFF"/>
                <w:sz w:val="18"/>
              </w:rPr>
              <w:t>Origin</w:t>
            </w:r>
          </w:p>
        </w:tc>
      </w:tr>
      <w:tr>
        <w:tc>
          <w:tcPr>
            <w:tcW w:type="dxa" w:w="1587"/>
          </w:tcPr>
          <w:p>
            <w:pPr>
              <w:spacing w:after="40"/>
            </w:pPr>
            <w:r/>
            <w:r>
              <w:rPr>
                <w:b w:val="0"/>
                <w:sz w:val="18"/>
              </w:rPr>
              <w:t>1.92</w:t>
            </w:r>
          </w:p>
        </w:tc>
        <w:tc>
          <w:tcPr>
            <w:tcW w:type="dxa" w:w="2381"/>
          </w:tcPr>
          <w:p>
            <w:pPr>
              <w:spacing w:after="40"/>
            </w:pPr>
            <w:r/>
            <w:r>
              <w:rPr>
                <w:b w:val="0"/>
                <w:sz w:val="18"/>
              </w:rPr>
              <w:t>3.17</w:t>
            </w:r>
          </w:p>
        </w:tc>
        <w:tc>
          <w:tcPr>
            <w:tcW w:type="dxa" w:w="1928"/>
          </w:tcPr>
          <w:p>
            <w:pPr>
              <w:spacing w:after="40"/>
            </w:pPr>
            <w:r/>
            <w:r>
              <w:rPr>
                <w:b/>
                <w:color w:val="0F7B4F"/>
                <w:sz w:val="18"/>
              </w:rPr>
              <w:t>15.8</w:t>
            </w:r>
          </w:p>
        </w:tc>
        <w:tc>
          <w:tcPr>
            <w:tcW w:type="dxa" w:w="1701"/>
          </w:tcPr>
          <w:p>
            <w:pPr>
              <w:spacing w:after="40"/>
            </w:pPr>
            <w:r/>
            <w:r>
              <w:rPr>
                <w:b w:val="0"/>
                <w:sz w:val="18"/>
              </w:rPr>
              <w:t>14.3</w:t>
            </w:r>
          </w:p>
        </w:tc>
        <w:tc>
          <w:tcPr>
            <w:tcW w:type="dxa" w:w="1474"/>
          </w:tcPr>
          <w:p>
            <w:pPr>
              <w:spacing w:after="40"/>
            </w:pPr>
            <w:r/>
            <w:r>
              <w:rPr>
                <w:b w:val="0"/>
                <w:sz w:val="18"/>
              </w:rPr>
              <w:t>[C]</w:t>
            </w:r>
          </w:p>
        </w:tc>
      </w:tr>
      <w:tr>
        <w:tc>
          <w:tcPr>
            <w:tcW w:type="dxa" w:w="1587"/>
          </w:tcPr>
          <w:p>
            <w:pPr>
              <w:spacing w:after="40"/>
            </w:pPr>
            <w:r/>
            <w:r>
              <w:rPr>
                <w:b w:val="0"/>
                <w:sz w:val="18"/>
              </w:rPr>
              <w:t>3.00</w:t>
            </w:r>
          </w:p>
        </w:tc>
        <w:tc>
          <w:tcPr>
            <w:tcW w:type="dxa" w:w="2381"/>
          </w:tcPr>
          <w:p>
            <w:pPr>
              <w:spacing w:after="40"/>
            </w:pPr>
            <w:r/>
            <w:r>
              <w:rPr>
                <w:b w:val="0"/>
                <w:sz w:val="18"/>
              </w:rPr>
              <w:t>4.95</w:t>
            </w:r>
          </w:p>
        </w:tc>
        <w:tc>
          <w:tcPr>
            <w:tcW w:type="dxa" w:w="1928"/>
          </w:tcPr>
          <w:p>
            <w:pPr>
              <w:spacing w:after="40"/>
            </w:pPr>
            <w:r/>
            <w:r>
              <w:rPr>
                <w:b w:val="0"/>
                <w:sz w:val="18"/>
              </w:rPr>
              <w:t>24.8</w:t>
            </w:r>
          </w:p>
        </w:tc>
        <w:tc>
          <w:tcPr>
            <w:tcW w:type="dxa" w:w="1701"/>
          </w:tcPr>
          <w:p>
            <w:pPr>
              <w:spacing w:after="40"/>
            </w:pPr>
            <w:r/>
            <w:r>
              <w:rPr>
                <w:b w:val="0"/>
                <w:sz w:val="18"/>
              </w:rPr>
              <w:t>22.3</w:t>
            </w:r>
          </w:p>
        </w:tc>
        <w:tc>
          <w:tcPr>
            <w:tcW w:type="dxa" w:w="1474"/>
          </w:tcPr>
          <w:p>
            <w:pPr>
              <w:spacing w:after="40"/>
            </w:pPr>
            <w:r/>
            <w:r>
              <w:rPr>
                <w:b w:val="0"/>
                <w:sz w:val="18"/>
              </w:rPr>
              <w:t>[C]</w:t>
            </w:r>
          </w:p>
        </w:tc>
      </w:tr>
      <w:tr>
        <w:tc>
          <w:tcPr>
            <w:tcW w:type="dxa" w:w="1587"/>
          </w:tcPr>
          <w:p>
            <w:pPr>
              <w:spacing w:after="40"/>
            </w:pPr>
            <w:r/>
            <w:r>
              <w:rPr>
                <w:b w:val="0"/>
                <w:sz w:val="18"/>
              </w:rPr>
              <w:t>4.00</w:t>
            </w:r>
          </w:p>
        </w:tc>
        <w:tc>
          <w:tcPr>
            <w:tcW w:type="dxa" w:w="2381"/>
          </w:tcPr>
          <w:p>
            <w:pPr>
              <w:spacing w:after="40"/>
            </w:pPr>
            <w:r/>
            <w:r>
              <w:rPr>
                <w:b w:val="0"/>
                <w:sz w:val="18"/>
              </w:rPr>
              <w:t>6.60</w:t>
            </w:r>
          </w:p>
        </w:tc>
        <w:tc>
          <w:tcPr>
            <w:tcW w:type="dxa" w:w="1928"/>
          </w:tcPr>
          <w:p>
            <w:pPr>
              <w:spacing w:after="40"/>
            </w:pPr>
            <w:r/>
            <w:r>
              <w:rPr>
                <w:b w:val="0"/>
                <w:sz w:val="18"/>
              </w:rPr>
              <w:t>33.0</w:t>
            </w:r>
          </w:p>
        </w:tc>
        <w:tc>
          <w:tcPr>
            <w:tcW w:type="dxa" w:w="1701"/>
          </w:tcPr>
          <w:p>
            <w:pPr>
              <w:spacing w:after="40"/>
            </w:pPr>
            <w:r/>
            <w:r>
              <w:rPr>
                <w:b w:val="0"/>
                <w:sz w:val="18"/>
              </w:rPr>
              <w:t>29.7</w:t>
            </w:r>
          </w:p>
        </w:tc>
        <w:tc>
          <w:tcPr>
            <w:tcW w:type="dxa" w:w="1474"/>
          </w:tcPr>
          <w:p>
            <w:pPr>
              <w:spacing w:after="40"/>
            </w:pPr>
            <w:r/>
            <w:r>
              <w:rPr>
                <w:b w:val="0"/>
                <w:sz w:val="18"/>
              </w:rPr>
              <w:t>[C]</w:t>
            </w:r>
          </w:p>
        </w:tc>
      </w:tr>
      <w:tr>
        <w:tc>
          <w:tcPr>
            <w:tcW w:type="dxa" w:w="1587"/>
          </w:tcPr>
          <w:p>
            <w:pPr>
              <w:spacing w:after="40"/>
            </w:pPr>
            <w:r/>
            <w:r>
              <w:rPr>
                <w:b w:val="0"/>
                <w:sz w:val="18"/>
              </w:rPr>
              <w:t>5.00</w:t>
            </w:r>
          </w:p>
        </w:tc>
        <w:tc>
          <w:tcPr>
            <w:tcW w:type="dxa" w:w="2381"/>
          </w:tcPr>
          <w:p>
            <w:pPr>
              <w:spacing w:after="40"/>
            </w:pPr>
            <w:r/>
            <w:r>
              <w:rPr>
                <w:b w:val="0"/>
                <w:sz w:val="18"/>
              </w:rPr>
              <w:t>8.25</w:t>
            </w:r>
          </w:p>
        </w:tc>
        <w:tc>
          <w:tcPr>
            <w:tcW w:type="dxa" w:w="1928"/>
          </w:tcPr>
          <w:p>
            <w:pPr>
              <w:spacing w:after="40"/>
            </w:pPr>
            <w:r/>
            <w:r>
              <w:rPr>
                <w:b w:val="0"/>
                <w:sz w:val="18"/>
              </w:rPr>
              <w:t>41.3</w:t>
            </w:r>
          </w:p>
        </w:tc>
        <w:tc>
          <w:tcPr>
            <w:tcW w:type="dxa" w:w="1701"/>
          </w:tcPr>
          <w:p>
            <w:pPr>
              <w:spacing w:after="40"/>
            </w:pPr>
            <w:r/>
            <w:r>
              <w:rPr>
                <w:b w:val="0"/>
                <w:sz w:val="18"/>
              </w:rPr>
              <w:t>37.1</w:t>
            </w:r>
          </w:p>
        </w:tc>
        <w:tc>
          <w:tcPr>
            <w:tcW w:type="dxa" w:w="1474"/>
          </w:tcPr>
          <w:p>
            <w:pPr>
              <w:spacing w:after="40"/>
            </w:pPr>
            <w:r/>
            <w:r>
              <w:rPr>
                <w:b w:val="0"/>
                <w:sz w:val="18"/>
              </w:rPr>
              <w:t>[C]</w:t>
            </w:r>
          </w:p>
        </w:tc>
      </w:tr>
      <w:tr>
        <w:tc>
          <w:tcPr>
            <w:tcW w:type="dxa" w:w="1587"/>
          </w:tcPr>
          <w:p>
            <w:pPr>
              <w:spacing w:after="40"/>
            </w:pPr>
            <w:r/>
            <w:r>
              <w:rPr>
                <w:b w:val="0"/>
                <w:sz w:val="18"/>
              </w:rPr>
              <w:t>6.57</w:t>
            </w:r>
          </w:p>
        </w:tc>
        <w:tc>
          <w:tcPr>
            <w:tcW w:type="dxa" w:w="2381"/>
          </w:tcPr>
          <w:p>
            <w:pPr>
              <w:spacing w:after="40"/>
            </w:pPr>
            <w:r/>
            <w:r>
              <w:rPr>
                <w:b w:val="0"/>
                <w:sz w:val="18"/>
              </w:rPr>
              <w:t>10.84</w:t>
            </w:r>
          </w:p>
        </w:tc>
        <w:tc>
          <w:tcPr>
            <w:tcW w:type="dxa" w:w="1928"/>
          </w:tcPr>
          <w:p>
            <w:pPr>
              <w:spacing w:after="40"/>
            </w:pPr>
            <w:r/>
            <w:r>
              <w:rPr>
                <w:b w:val="0"/>
                <w:color w:val="B3261E"/>
                <w:sz w:val="18"/>
              </w:rPr>
              <w:t>54.2</w:t>
            </w:r>
          </w:p>
        </w:tc>
        <w:tc>
          <w:tcPr>
            <w:tcW w:type="dxa" w:w="1701"/>
          </w:tcPr>
          <w:p>
            <w:pPr>
              <w:spacing w:after="40"/>
            </w:pPr>
            <w:r/>
            <w:r>
              <w:rPr>
                <w:b w:val="0"/>
                <w:sz w:val="18"/>
              </w:rPr>
              <w:t>48.8</w:t>
            </w:r>
          </w:p>
        </w:tc>
        <w:tc>
          <w:tcPr>
            <w:tcW w:type="dxa" w:w="1474"/>
          </w:tcPr>
          <w:p>
            <w:pPr>
              <w:spacing w:after="40"/>
            </w:pPr>
            <w:r/>
            <w:r>
              <w:rPr>
                <w:b w:val="0"/>
                <w:sz w:val="18"/>
              </w:rPr>
              <w:t>[C]</w:t>
            </w:r>
          </w:p>
        </w:tc>
      </w:tr>
      <w:tr>
        <w:tc>
          <w:tcPr>
            <w:tcW w:type="dxa" w:w="1587"/>
          </w:tcPr>
          <w:p>
            <w:pPr>
              <w:spacing w:after="40"/>
            </w:pPr>
            <w:r/>
            <w:r>
              <w:rPr>
                <w:b/>
                <w:sz w:val="18"/>
              </w:rPr>
              <w:t>Difference</w:t>
            </w:r>
          </w:p>
        </w:tc>
        <w:tc>
          <w:tcPr>
            <w:tcW w:type="dxa" w:w="2381"/>
          </w:tcPr>
          <w:p>
            <w:pPr>
              <w:spacing w:after="40"/>
            </w:pPr>
            <w:r/>
            <w:r>
              <w:rPr>
                <w:b/>
                <w:sz w:val="18"/>
              </w:rPr>
              <w:t>7.67</w:t>
            </w:r>
          </w:p>
        </w:tc>
        <w:tc>
          <w:tcPr>
            <w:tcW w:type="dxa" w:w="1928"/>
          </w:tcPr>
          <w:p>
            <w:pPr>
              <w:spacing w:after="40"/>
            </w:pPr>
            <w:r/>
            <w:r>
              <w:rPr>
                <w:b/>
                <w:color w:val="B3261E"/>
                <w:sz w:val="18"/>
              </w:rPr>
              <w:t>38.4 kg/m³</w:t>
            </w:r>
          </w:p>
        </w:tc>
        <w:tc>
          <w:tcPr>
            <w:tcW w:type="dxa" w:w="1701"/>
          </w:tcPr>
          <w:p>
            <w:pPr>
              <w:spacing w:after="40"/>
            </w:pPr>
            <w:r/>
            <w:r>
              <w:rPr>
                <w:b/>
                <w:sz w:val="18"/>
              </w:rPr>
              <w:t>34.5 kg/m³</w:t>
            </w:r>
          </w:p>
        </w:tc>
        <w:tc>
          <w:tcPr>
            <w:tcW w:type="dxa" w:w="1474"/>
          </w:tcPr>
          <w:p>
            <w:pPr>
              <w:spacing w:after="40"/>
            </w:pPr>
            <w:r/>
            <w:r>
              <w:rPr>
                <w:b w:val="0"/>
                <w:sz w:val="18"/>
              </w:rPr>
              <w:t>[C]</w:t>
            </w:r>
          </w:p>
        </w:tc>
      </w:tr>
    </w:tbl>
    <w:p>
      <w:pPr>
        <w:spacing w:after="60"/>
      </w:pPr>
    </w:p>
    <w:p>
      <w:pPr>
        <w:jc w:val="both"/>
      </w:pPr>
      <w:r>
        <w:rPr>
          <w:b w:val="0"/>
          <w:i/>
          <w:color w:val="5D6B7A"/>
          <w:sz w:val="18"/>
        </w:rPr>
        <w:t>Assumptions: approximately 5 kg of cement per MPa of target strength (planning figure); 0.9 kg CO₂ per kg of cement. Both are stated so the reader can substitute their own values.</w:t>
      </w:r>
    </w:p>
    <w:p>
      <w:pPr>
        <w:jc w:val="center"/>
      </w:pPr>
      <w:r>
        <w:drawing>
          <wp:inline xmlns:a="http://schemas.openxmlformats.org/drawingml/2006/main" xmlns:pic="http://schemas.openxmlformats.org/drawingml/2006/picture">
            <wp:extent cx="5580000" cy="2803129"/>
            <wp:docPr id="2" name="Picture 2"/>
            <wp:cNvGraphicFramePr>
              <a:graphicFrameLocks noChangeAspect="1"/>
            </wp:cNvGraphicFramePr>
            <a:graphic>
              <a:graphicData uri="http://schemas.openxmlformats.org/drawingml/2006/picture">
                <pic:pic>
                  <pic:nvPicPr>
                    <pic:cNvPr id="0" name="fig2_cement_penalty.png"/>
                    <pic:cNvPicPr/>
                  </pic:nvPicPr>
                  <pic:blipFill>
                    <a:blip r:embed="rId10"/>
                    <a:stretch>
                      <a:fillRect/>
                    </a:stretch>
                  </pic:blipFill>
                  <pic:spPr>
                    <a:xfrm>
                      <a:off x="0" y="0"/>
                      <a:ext cx="5580000" cy="2803129"/>
                    </a:xfrm>
                    <a:prstGeom prst="rect"/>
                  </pic:spPr>
                </pic:pic>
              </a:graphicData>
            </a:graphic>
          </wp:inline>
        </w:drawing>
      </w:r>
    </w:p>
    <w:p>
      <w:pPr>
        <w:spacing w:after="200"/>
        <w:jc w:val="center"/>
      </w:pPr>
      <w:r>
        <w:rPr>
          <w:i/>
          <w:color w:val="5D6B7A"/>
          <w:sz w:val="17"/>
        </w:rPr>
        <w:t>Figure 2 — Cement and CO₂ penalty attributable purely to variability.</w:t>
      </w:r>
    </w:p>
    <w:tbl>
      <w:tblPr>
        <w:tblStyle w:val="TableGrid"/>
        <w:tblW w:type="auto" w:w="0"/>
        <w:tblLook w:firstColumn="1" w:firstRow="1" w:lastColumn="0" w:lastRow="0" w:noHBand="0" w:noVBand="1" w:val="04A0"/>
      </w:tblPr>
      <w:tblGrid>
        <w:gridCol w:w="9355"/>
      </w:tblGrid>
      <w:tr>
        <w:tc>
          <w:tcPr>
            <w:tcW w:type="dxa" w:w="9071"/>
            <w:shd w:val="clear" w:color="auto" w:fill="CDE6D8"/>
          </w:tcPr>
          <w:p>
            <w:pPr>
              <w:spacing w:after="60"/>
            </w:pPr>
            <w:r/>
            <w:r>
              <w:rPr>
                <w:b/>
                <w:color w:val="0F7B4F"/>
                <w:sz w:val="21"/>
              </w:rPr>
              <w:t>Put this in rupees for your presentation</w:t>
            </w:r>
          </w:p>
          <w:p>
            <w:pPr>
              <w:jc w:val="both"/>
            </w:pPr>
            <w:r>
              <w:rPr>
                <w:sz w:val="20"/>
              </w:rPr>
              <w:t>At roughly ₹8 per kg of cement, 38.4 kg/m³ of avoidable cement is about ₹307 per cubic metre. A plant producing 500 m³ per day wastes in the order of ₹1.5 lakh per day — over ₹5 crore per year. Verify the local cement rate before quoting this figure; the arithmetic is yours to defend.</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2 (Clustered Column, two series)</w:t>
            </w:r>
          </w:p>
          <w:p>
            <w:pPr>
              <w:spacing w:after="40"/>
              <w:ind w:left="340"/>
              <w:jc w:val="both"/>
            </w:pPr>
            <w:r>
              <w:rPr>
                <w:b/>
                <w:sz w:val="19"/>
              </w:rPr>
              <w:t xml:space="preserve">1.  </w:t>
            </w:r>
            <w:r>
              <w:rPr>
                <w:sz w:val="19"/>
              </w:rPr>
              <w:t>Enter σ values in A2:A6, extra cement in B2:B6, extra CO₂ in C2:C6, with headings in row 1.</w:t>
            </w:r>
          </w:p>
          <w:p>
            <w:pPr>
              <w:spacing w:after="40"/>
              <w:ind w:left="340"/>
              <w:jc w:val="both"/>
            </w:pPr>
            <w:r>
              <w:rPr>
                <w:b/>
                <w:sz w:val="19"/>
              </w:rPr>
              <w:t xml:space="preserve">2.  </w:t>
            </w:r>
            <w:r>
              <w:rPr>
                <w:sz w:val="19"/>
              </w:rPr>
              <w:t>To compute rather than type the values: in B2 enter  =1.65*A2*5  and in C2 enter  =B2*0.9  then drag both down. This makes the sheet reusable.</w:t>
            </w:r>
          </w:p>
          <w:p>
            <w:pPr>
              <w:spacing w:after="40"/>
              <w:ind w:left="340"/>
              <w:jc w:val="both"/>
            </w:pPr>
            <w:r>
              <w:rPr>
                <w:b/>
                <w:sz w:val="19"/>
              </w:rPr>
              <w:t xml:space="preserve">3.  </w:t>
            </w:r>
            <w:r>
              <w:rPr>
                <w:sz w:val="19"/>
              </w:rPr>
              <w:t>Select A1:C6.</w:t>
            </w:r>
          </w:p>
          <w:p>
            <w:pPr>
              <w:spacing w:after="40"/>
              <w:ind w:left="340"/>
              <w:jc w:val="both"/>
            </w:pPr>
            <w:r>
              <w:rPr>
                <w:b/>
                <w:sz w:val="19"/>
              </w:rPr>
              <w:t xml:space="preserve">4.  </w:t>
            </w:r>
            <w:r>
              <w:rPr>
                <w:sz w:val="19"/>
              </w:rPr>
              <w:t>Insert → Insert Column or Bar Chart → Clustered Column.</w:t>
            </w:r>
          </w:p>
          <w:p>
            <w:pPr>
              <w:spacing w:after="40"/>
              <w:ind w:left="340"/>
              <w:jc w:val="both"/>
            </w:pPr>
            <w:r>
              <w:rPr>
                <w:b/>
                <w:sz w:val="19"/>
              </w:rPr>
              <w:t xml:space="preserve">5.  </w:t>
            </w:r>
            <w:r>
              <w:rPr>
                <w:sz w:val="19"/>
              </w:rPr>
              <w:t>Two coloured series will appear side by side with an automatic legend.</w:t>
            </w:r>
          </w:p>
          <w:p>
            <w:pPr>
              <w:spacing w:after="40"/>
              <w:ind w:left="340"/>
              <w:jc w:val="both"/>
            </w:pPr>
            <w:r>
              <w:rPr>
                <w:b/>
                <w:sz w:val="19"/>
              </w:rPr>
              <w:t xml:space="preserve">6.  </w:t>
            </w:r>
            <w:r>
              <w:rPr>
                <w:sz w:val="19"/>
              </w:rPr>
              <w:t>Click + → Data Labels → Outside End.</w:t>
            </w:r>
          </w:p>
          <w:p>
            <w:pPr>
              <w:spacing w:after="40"/>
              <w:ind w:left="340"/>
              <w:jc w:val="both"/>
            </w:pPr>
            <w:r>
              <w:rPr>
                <w:b/>
                <w:sz w:val="19"/>
              </w:rPr>
              <w:t xml:space="preserve">7.  </w:t>
            </w:r>
            <w:r>
              <w:rPr>
                <w:sz w:val="19"/>
              </w:rPr>
              <w:t>Set the horizontal axis title to 'Plant standard deviation σ (MPa)' and the vertical to 'Extra material per m³'.</w:t>
            </w:r>
          </w:p>
        </w:tc>
      </w:tr>
    </w:tbl>
    <w:p>
      <w:pPr>
        <w:spacing w:after="160"/>
      </w:pPr>
    </w:p>
    <w:p>
      <w:r>
        <w:br w:type="page"/>
      </w:r>
    </w:p>
    <w:p>
      <w:pPr>
        <w:pStyle w:val="Heading2"/>
      </w:pPr>
      <w:r>
        <w:t>Dataset 3 — Strength gain curves for different binders</w:t>
      </w:r>
    </w:p>
    <w:p>
      <w:pPr>
        <w:jc w:val="both"/>
      </w:pPr>
      <w:r>
        <w:rPr>
          <w:b w:val="0"/>
          <w:i w:val="0"/>
        </w:rPr>
        <w:t>This explains why one fixed 7-day-to-28-day conversion factor cannot work.</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474"/>
            <w:shd w:val="clear" w:color="auto" w:fill="1F3B5C"/>
          </w:tcPr>
          <w:p>
            <w:pPr>
              <w:jc w:val="center"/>
            </w:pPr>
            <w:r/>
            <w:r>
              <w:rPr>
                <w:b/>
                <w:color w:val="FFFFFF"/>
                <w:sz w:val="18"/>
              </w:rPr>
              <w:t>Age (days)</w:t>
            </w:r>
          </w:p>
        </w:tc>
        <w:tc>
          <w:tcPr>
            <w:tcW w:type="dxa" w:w="1814"/>
            <w:shd w:val="clear" w:color="auto" w:fill="1F3B5C"/>
          </w:tcPr>
          <w:p>
            <w:pPr>
              <w:jc w:val="center"/>
            </w:pPr>
            <w:r/>
            <w:r>
              <w:rPr>
                <w:b/>
                <w:color w:val="FFFFFF"/>
                <w:sz w:val="18"/>
              </w:rPr>
              <w:t>OPC only</w:t>
            </w:r>
          </w:p>
        </w:tc>
        <w:tc>
          <w:tcPr>
            <w:tcW w:type="dxa" w:w="1814"/>
            <w:shd w:val="clear" w:color="auto" w:fill="1F3B5C"/>
          </w:tcPr>
          <w:p>
            <w:pPr>
              <w:jc w:val="center"/>
            </w:pPr>
            <w:r/>
            <w:r>
              <w:rPr>
                <w:b/>
                <w:color w:val="FFFFFF"/>
                <w:sz w:val="18"/>
              </w:rPr>
              <w:t>30% fly ash</w:t>
            </w:r>
          </w:p>
        </w:tc>
        <w:tc>
          <w:tcPr>
            <w:tcW w:type="dxa" w:w="1814"/>
            <w:shd w:val="clear" w:color="auto" w:fill="1F3B5C"/>
          </w:tcPr>
          <w:p>
            <w:pPr>
              <w:jc w:val="center"/>
            </w:pPr>
            <w:r/>
            <w:r>
              <w:rPr>
                <w:b/>
                <w:color w:val="FFFFFF"/>
                <w:sz w:val="18"/>
              </w:rPr>
              <w:t>50% GGBS</w:t>
            </w:r>
          </w:p>
        </w:tc>
        <w:tc>
          <w:tcPr>
            <w:tcW w:type="dxa" w:w="2154"/>
            <w:shd w:val="clear" w:color="auto" w:fill="1F3B5C"/>
          </w:tcPr>
          <w:p>
            <w:pPr>
              <w:jc w:val="center"/>
            </w:pPr>
            <w:r/>
            <w:r>
              <w:rPr>
                <w:b/>
                <w:color w:val="FFFFFF"/>
                <w:sz w:val="18"/>
              </w:rPr>
              <w:t>Origin</w:t>
            </w:r>
          </w:p>
        </w:tc>
      </w:tr>
      <w:tr>
        <w:tc>
          <w:tcPr>
            <w:tcW w:type="dxa" w:w="1474"/>
          </w:tcPr>
          <w:p>
            <w:pPr>
              <w:spacing w:after="40"/>
            </w:pPr>
            <w:r/>
            <w:r>
              <w:rPr>
                <w:b w:val="0"/>
                <w:sz w:val="18"/>
              </w:rPr>
              <w:t>1</w:t>
            </w:r>
          </w:p>
        </w:tc>
        <w:tc>
          <w:tcPr>
            <w:tcW w:type="dxa" w:w="1814"/>
          </w:tcPr>
          <w:p>
            <w:pPr>
              <w:spacing w:after="40"/>
            </w:pPr>
            <w:r/>
            <w:r>
              <w:rPr>
                <w:b w:val="0"/>
                <w:sz w:val="18"/>
              </w:rPr>
              <w:t>0.16</w:t>
            </w:r>
          </w:p>
        </w:tc>
        <w:tc>
          <w:tcPr>
            <w:tcW w:type="dxa" w:w="1814"/>
          </w:tcPr>
          <w:p>
            <w:pPr>
              <w:spacing w:after="40"/>
            </w:pPr>
            <w:r/>
            <w:r>
              <w:rPr>
                <w:b w:val="0"/>
                <w:sz w:val="18"/>
              </w:rPr>
              <w:t>0.10</w:t>
            </w:r>
          </w:p>
        </w:tc>
        <w:tc>
          <w:tcPr>
            <w:tcW w:type="dxa" w:w="1814"/>
          </w:tcPr>
          <w:p>
            <w:pPr>
              <w:spacing w:after="40"/>
            </w:pPr>
            <w:r/>
            <w:r>
              <w:rPr>
                <w:b w:val="0"/>
                <w:sz w:val="18"/>
              </w:rPr>
              <w:t>0.08</w:t>
            </w:r>
          </w:p>
        </w:tc>
        <w:tc>
          <w:tcPr>
            <w:tcW w:type="dxa" w:w="2154"/>
          </w:tcPr>
          <w:p>
            <w:pPr>
              <w:spacing w:after="40"/>
            </w:pPr>
            <w:r/>
            <w:r>
              <w:rPr>
                <w:b w:val="0"/>
                <w:sz w:val="18"/>
              </w:rPr>
              <w:t>[I]</w:t>
            </w:r>
          </w:p>
        </w:tc>
      </w:tr>
      <w:tr>
        <w:tc>
          <w:tcPr>
            <w:tcW w:type="dxa" w:w="1474"/>
          </w:tcPr>
          <w:p>
            <w:pPr>
              <w:spacing w:after="40"/>
            </w:pPr>
            <w:r/>
            <w:r>
              <w:rPr>
                <w:b w:val="0"/>
                <w:sz w:val="18"/>
              </w:rPr>
              <w:t>3</w:t>
            </w:r>
          </w:p>
        </w:tc>
        <w:tc>
          <w:tcPr>
            <w:tcW w:type="dxa" w:w="1814"/>
          </w:tcPr>
          <w:p>
            <w:pPr>
              <w:spacing w:after="40"/>
            </w:pPr>
            <w:r/>
            <w:r>
              <w:rPr>
                <w:b w:val="0"/>
                <w:sz w:val="18"/>
              </w:rPr>
              <w:t>0.40</w:t>
            </w:r>
          </w:p>
        </w:tc>
        <w:tc>
          <w:tcPr>
            <w:tcW w:type="dxa" w:w="1814"/>
          </w:tcPr>
          <w:p>
            <w:pPr>
              <w:spacing w:after="40"/>
            </w:pPr>
            <w:r/>
            <w:r>
              <w:rPr>
                <w:b w:val="0"/>
                <w:sz w:val="18"/>
              </w:rPr>
              <w:t>0.28</w:t>
            </w:r>
          </w:p>
        </w:tc>
        <w:tc>
          <w:tcPr>
            <w:tcW w:type="dxa" w:w="1814"/>
          </w:tcPr>
          <w:p>
            <w:pPr>
              <w:spacing w:after="40"/>
            </w:pPr>
            <w:r/>
            <w:r>
              <w:rPr>
                <w:b w:val="0"/>
                <w:sz w:val="18"/>
              </w:rPr>
              <w:t>0.25</w:t>
            </w:r>
          </w:p>
        </w:tc>
        <w:tc>
          <w:tcPr>
            <w:tcW w:type="dxa" w:w="2154"/>
          </w:tcPr>
          <w:p>
            <w:pPr>
              <w:spacing w:after="40"/>
            </w:pPr>
            <w:r/>
            <w:r>
              <w:rPr>
                <w:b w:val="0"/>
                <w:sz w:val="18"/>
              </w:rPr>
              <w:t>[I]</w:t>
            </w:r>
          </w:p>
        </w:tc>
      </w:tr>
      <w:tr>
        <w:tc>
          <w:tcPr>
            <w:tcW w:type="dxa" w:w="1474"/>
          </w:tcPr>
          <w:p>
            <w:pPr>
              <w:spacing w:after="40"/>
            </w:pPr>
            <w:r/>
            <w:r>
              <w:rPr>
                <w:b/>
                <w:sz w:val="18"/>
              </w:rPr>
              <w:t>7</w:t>
            </w:r>
          </w:p>
        </w:tc>
        <w:tc>
          <w:tcPr>
            <w:tcW w:type="dxa" w:w="1814"/>
          </w:tcPr>
          <w:p>
            <w:pPr>
              <w:spacing w:after="40"/>
            </w:pPr>
            <w:r/>
            <w:r>
              <w:rPr>
                <w:b/>
                <w:sz w:val="18"/>
              </w:rPr>
              <w:t>0.65</w:t>
            </w:r>
          </w:p>
        </w:tc>
        <w:tc>
          <w:tcPr>
            <w:tcW w:type="dxa" w:w="1814"/>
          </w:tcPr>
          <w:p>
            <w:pPr>
              <w:spacing w:after="40"/>
            </w:pPr>
            <w:r/>
            <w:r>
              <w:rPr>
                <w:b/>
                <w:sz w:val="18"/>
              </w:rPr>
              <w:t>0.50</w:t>
            </w:r>
          </w:p>
        </w:tc>
        <w:tc>
          <w:tcPr>
            <w:tcW w:type="dxa" w:w="1814"/>
          </w:tcPr>
          <w:p>
            <w:pPr>
              <w:spacing w:after="40"/>
            </w:pPr>
            <w:r/>
            <w:r>
              <w:rPr>
                <w:b/>
                <w:sz w:val="18"/>
              </w:rPr>
              <w:t>0.48</w:t>
            </w:r>
          </w:p>
        </w:tc>
        <w:tc>
          <w:tcPr>
            <w:tcW w:type="dxa" w:w="2154"/>
          </w:tcPr>
          <w:p>
            <w:pPr>
              <w:spacing w:after="40"/>
            </w:pPr>
            <w:r/>
            <w:r>
              <w:rPr>
                <w:b w:val="0"/>
                <w:sz w:val="18"/>
              </w:rPr>
              <w:t>[I]</w:t>
            </w:r>
          </w:p>
        </w:tc>
      </w:tr>
      <w:tr>
        <w:tc>
          <w:tcPr>
            <w:tcW w:type="dxa" w:w="1474"/>
          </w:tcPr>
          <w:p>
            <w:pPr>
              <w:spacing w:after="40"/>
            </w:pPr>
            <w:r/>
            <w:r>
              <w:rPr>
                <w:b w:val="0"/>
                <w:sz w:val="18"/>
              </w:rPr>
              <w:t>14</w:t>
            </w:r>
          </w:p>
        </w:tc>
        <w:tc>
          <w:tcPr>
            <w:tcW w:type="dxa" w:w="1814"/>
          </w:tcPr>
          <w:p>
            <w:pPr>
              <w:spacing w:after="40"/>
            </w:pPr>
            <w:r/>
            <w:r>
              <w:rPr>
                <w:b w:val="0"/>
                <w:sz w:val="18"/>
              </w:rPr>
              <w:t>0.85</w:t>
            </w:r>
          </w:p>
        </w:tc>
        <w:tc>
          <w:tcPr>
            <w:tcW w:type="dxa" w:w="1814"/>
          </w:tcPr>
          <w:p>
            <w:pPr>
              <w:spacing w:after="40"/>
            </w:pPr>
            <w:r/>
            <w:r>
              <w:rPr>
                <w:b w:val="0"/>
                <w:sz w:val="18"/>
              </w:rPr>
              <w:t>0.72</w:t>
            </w:r>
          </w:p>
        </w:tc>
        <w:tc>
          <w:tcPr>
            <w:tcW w:type="dxa" w:w="1814"/>
          </w:tcPr>
          <w:p>
            <w:pPr>
              <w:spacing w:after="40"/>
            </w:pPr>
            <w:r/>
            <w:r>
              <w:rPr>
                <w:b w:val="0"/>
                <w:sz w:val="18"/>
              </w:rPr>
              <w:t>0.74</w:t>
            </w:r>
          </w:p>
        </w:tc>
        <w:tc>
          <w:tcPr>
            <w:tcW w:type="dxa" w:w="2154"/>
          </w:tcPr>
          <w:p>
            <w:pPr>
              <w:spacing w:after="40"/>
            </w:pPr>
            <w:r/>
            <w:r>
              <w:rPr>
                <w:b w:val="0"/>
                <w:sz w:val="18"/>
              </w:rPr>
              <w:t>[I]</w:t>
            </w:r>
          </w:p>
        </w:tc>
      </w:tr>
      <w:tr>
        <w:tc>
          <w:tcPr>
            <w:tcW w:type="dxa" w:w="1474"/>
          </w:tcPr>
          <w:p>
            <w:pPr>
              <w:spacing w:after="40"/>
            </w:pPr>
            <w:r/>
            <w:r>
              <w:rPr>
                <w:b/>
                <w:sz w:val="18"/>
              </w:rPr>
              <w:t>28</w:t>
            </w:r>
          </w:p>
        </w:tc>
        <w:tc>
          <w:tcPr>
            <w:tcW w:type="dxa" w:w="1814"/>
          </w:tcPr>
          <w:p>
            <w:pPr>
              <w:spacing w:after="40"/>
            </w:pPr>
            <w:r/>
            <w:r>
              <w:rPr>
                <w:b/>
                <w:sz w:val="18"/>
              </w:rPr>
              <w:t>1.00</w:t>
            </w:r>
          </w:p>
        </w:tc>
        <w:tc>
          <w:tcPr>
            <w:tcW w:type="dxa" w:w="1814"/>
          </w:tcPr>
          <w:p>
            <w:pPr>
              <w:spacing w:after="40"/>
            </w:pPr>
            <w:r/>
            <w:r>
              <w:rPr>
                <w:b/>
                <w:sz w:val="18"/>
              </w:rPr>
              <w:t>0.95</w:t>
            </w:r>
          </w:p>
        </w:tc>
        <w:tc>
          <w:tcPr>
            <w:tcW w:type="dxa" w:w="1814"/>
          </w:tcPr>
          <w:p>
            <w:pPr>
              <w:spacing w:after="40"/>
            </w:pPr>
            <w:r/>
            <w:r>
              <w:rPr>
                <w:b/>
                <w:sz w:val="18"/>
              </w:rPr>
              <w:t>1.00</w:t>
            </w:r>
          </w:p>
        </w:tc>
        <w:tc>
          <w:tcPr>
            <w:tcW w:type="dxa" w:w="2154"/>
          </w:tcPr>
          <w:p>
            <w:pPr>
              <w:spacing w:after="40"/>
            </w:pPr>
            <w:r/>
            <w:r>
              <w:rPr>
                <w:b w:val="0"/>
                <w:sz w:val="18"/>
              </w:rPr>
              <w:t>[I]</w:t>
            </w:r>
          </w:p>
        </w:tc>
      </w:tr>
      <w:tr>
        <w:tc>
          <w:tcPr>
            <w:tcW w:type="dxa" w:w="1474"/>
          </w:tcPr>
          <w:p>
            <w:pPr>
              <w:spacing w:after="40"/>
            </w:pPr>
            <w:r/>
            <w:r>
              <w:rPr>
                <w:b w:val="0"/>
                <w:sz w:val="18"/>
              </w:rPr>
              <w:t>56</w:t>
            </w:r>
          </w:p>
        </w:tc>
        <w:tc>
          <w:tcPr>
            <w:tcW w:type="dxa" w:w="1814"/>
          </w:tcPr>
          <w:p>
            <w:pPr>
              <w:spacing w:after="40"/>
            </w:pPr>
            <w:r/>
            <w:r>
              <w:rPr>
                <w:b w:val="0"/>
                <w:sz w:val="18"/>
              </w:rPr>
              <w:t>1.08</w:t>
            </w:r>
          </w:p>
        </w:tc>
        <w:tc>
          <w:tcPr>
            <w:tcW w:type="dxa" w:w="1814"/>
          </w:tcPr>
          <w:p>
            <w:pPr>
              <w:spacing w:after="40"/>
            </w:pPr>
            <w:r/>
            <w:r>
              <w:rPr>
                <w:b w:val="0"/>
                <w:sz w:val="18"/>
              </w:rPr>
              <w:t>1.12</w:t>
            </w:r>
          </w:p>
        </w:tc>
        <w:tc>
          <w:tcPr>
            <w:tcW w:type="dxa" w:w="1814"/>
          </w:tcPr>
          <w:p>
            <w:pPr>
              <w:spacing w:after="40"/>
            </w:pPr>
            <w:r/>
            <w:r>
              <w:rPr>
                <w:b w:val="0"/>
                <w:sz w:val="18"/>
              </w:rPr>
              <w:t>1.18</w:t>
            </w:r>
          </w:p>
        </w:tc>
        <w:tc>
          <w:tcPr>
            <w:tcW w:type="dxa" w:w="2154"/>
          </w:tcPr>
          <w:p>
            <w:pPr>
              <w:spacing w:after="40"/>
            </w:pPr>
            <w:r/>
            <w:r>
              <w:rPr>
                <w:b w:val="0"/>
                <w:sz w:val="18"/>
              </w:rPr>
              <w:t>[I]</w:t>
            </w:r>
          </w:p>
        </w:tc>
      </w:tr>
      <w:tr>
        <w:tc>
          <w:tcPr>
            <w:tcW w:type="dxa" w:w="1474"/>
          </w:tcPr>
          <w:p>
            <w:pPr>
              <w:spacing w:after="40"/>
            </w:pPr>
            <w:r/>
            <w:r>
              <w:rPr>
                <w:b w:val="0"/>
                <w:sz w:val="18"/>
              </w:rPr>
              <w:t>90</w:t>
            </w:r>
          </w:p>
        </w:tc>
        <w:tc>
          <w:tcPr>
            <w:tcW w:type="dxa" w:w="1814"/>
          </w:tcPr>
          <w:p>
            <w:pPr>
              <w:spacing w:after="40"/>
            </w:pPr>
            <w:r/>
            <w:r>
              <w:rPr>
                <w:b w:val="0"/>
                <w:sz w:val="18"/>
              </w:rPr>
              <w:t>1.12</w:t>
            </w:r>
          </w:p>
        </w:tc>
        <w:tc>
          <w:tcPr>
            <w:tcW w:type="dxa" w:w="1814"/>
          </w:tcPr>
          <w:p>
            <w:pPr>
              <w:spacing w:after="40"/>
            </w:pPr>
            <w:r/>
            <w:r>
              <w:rPr>
                <w:b w:val="0"/>
                <w:sz w:val="18"/>
              </w:rPr>
              <w:t>1.25</w:t>
            </w:r>
          </w:p>
        </w:tc>
        <w:tc>
          <w:tcPr>
            <w:tcW w:type="dxa" w:w="1814"/>
          </w:tcPr>
          <w:p>
            <w:pPr>
              <w:spacing w:after="40"/>
            </w:pPr>
            <w:r/>
            <w:r>
              <w:rPr>
                <w:b w:val="0"/>
                <w:sz w:val="18"/>
              </w:rPr>
              <w:t>1.28</w:t>
            </w:r>
          </w:p>
        </w:tc>
        <w:tc>
          <w:tcPr>
            <w:tcW w:type="dxa" w:w="2154"/>
          </w:tcPr>
          <w:p>
            <w:pPr>
              <w:spacing w:after="40"/>
            </w:pPr>
            <w:r/>
            <w:r>
              <w:rPr>
                <w:b w:val="0"/>
                <w:sz w:val="18"/>
              </w:rPr>
              <w:t>[I]</w:t>
            </w:r>
          </w:p>
        </w:tc>
      </w:tr>
    </w:tbl>
    <w:p>
      <w:pPr>
        <w:spacing w:after="60"/>
      </w:pPr>
    </w:p>
    <w:p>
      <w:pPr>
        <w:jc w:val="both"/>
      </w:pPr>
      <w:r>
        <w:rPr>
          <w:b w:val="0"/>
          <w:i/>
          <w:color w:val="5D6B7A"/>
          <w:sz w:val="18"/>
        </w:rPr>
        <w:t>Values are strength divided by the 28-day OPC strength. These are representative shapes drawn from the general behaviour reported in the literature — they are the curves your own laboratory programme will replace with measured values. That replacement is a core deliverable of C1.</w:t>
      </w:r>
    </w:p>
    <w:p>
      <w:pPr>
        <w:jc w:val="center"/>
      </w:pPr>
      <w:r>
        <w:drawing>
          <wp:inline xmlns:a="http://schemas.openxmlformats.org/drawingml/2006/main" xmlns:pic="http://schemas.openxmlformats.org/drawingml/2006/picture">
            <wp:extent cx="5580000" cy="2954118"/>
            <wp:docPr id="3" name="Picture 3"/>
            <wp:cNvGraphicFramePr>
              <a:graphicFrameLocks noChangeAspect="1"/>
            </wp:cNvGraphicFramePr>
            <a:graphic>
              <a:graphicData uri="http://schemas.openxmlformats.org/drawingml/2006/picture">
                <pic:pic>
                  <pic:nvPicPr>
                    <pic:cNvPr id="0" name="fig4_strength_gain.png"/>
                    <pic:cNvPicPr/>
                  </pic:nvPicPr>
                  <pic:blipFill>
                    <a:blip r:embed="rId11"/>
                    <a:stretch>
                      <a:fillRect/>
                    </a:stretch>
                  </pic:blipFill>
                  <pic:spPr>
                    <a:xfrm>
                      <a:off x="0" y="0"/>
                      <a:ext cx="5580000" cy="2954118"/>
                    </a:xfrm>
                    <a:prstGeom prst="rect"/>
                  </pic:spPr>
                </pic:pic>
              </a:graphicData>
            </a:graphic>
          </wp:inline>
        </w:drawing>
      </w:r>
    </w:p>
    <w:p>
      <w:pPr>
        <w:spacing w:after="200"/>
        <w:jc w:val="center"/>
      </w:pPr>
      <w:r>
        <w:rPr>
          <w:i/>
          <w:color w:val="5D6B7A"/>
          <w:sz w:val="17"/>
        </w:rPr>
        <w:t>Figure 3 — Strength development for three binder systems.</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The research gap this exposes</w:t>
            </w:r>
          </w:p>
          <w:p>
            <w:pPr>
              <w:jc w:val="both"/>
            </w:pPr>
            <w:r>
              <w:rPr>
                <w:sz w:val="20"/>
              </w:rPr>
              <w:t>At 7 days all three systems read between 0.48 and 0.65 — close enough to be confused. By 90 days they range from 1.12 to 1.28. The 7-day result alone therefore cannot determine the 28-day outcome. Current practice uses a fixed multiplier that ignores the binder entirely. No Indian standard provides a binder-aware early-age prediction with an uncertainty bound.</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3 (Scatter with Straight Lines — NOT a Line chart)</w:t>
            </w:r>
          </w:p>
          <w:p>
            <w:pPr>
              <w:spacing w:after="40"/>
              <w:ind w:left="340"/>
              <w:jc w:val="both"/>
            </w:pPr>
            <w:r>
              <w:rPr>
                <w:b/>
                <w:sz w:val="19"/>
              </w:rPr>
              <w:t xml:space="preserve">1.  </w:t>
            </w:r>
            <w:r>
              <w:rPr>
                <w:sz w:val="19"/>
              </w:rPr>
              <w:t>Enter ages in A2:A8 and the three binder columns in B, C and D, with headings in row 1.</w:t>
            </w:r>
          </w:p>
          <w:p>
            <w:pPr>
              <w:spacing w:after="40"/>
              <w:ind w:left="340"/>
              <w:jc w:val="both"/>
            </w:pPr>
            <w:r>
              <w:rPr>
                <w:b/>
                <w:sz w:val="19"/>
              </w:rPr>
              <w:t xml:space="preserve">2.  </w:t>
            </w:r>
            <w:r>
              <w:rPr>
                <w:sz w:val="19"/>
              </w:rPr>
              <w:t>Select A1:D8.</w:t>
            </w:r>
          </w:p>
          <w:p>
            <w:pPr>
              <w:spacing w:after="40"/>
              <w:ind w:left="340"/>
              <w:jc w:val="both"/>
            </w:pPr>
            <w:r>
              <w:rPr>
                <w:b/>
                <w:sz w:val="19"/>
              </w:rPr>
              <w:t xml:space="preserve">3.  </w:t>
            </w:r>
            <w:r>
              <w:rPr>
                <w:sz w:val="19"/>
              </w:rPr>
              <w:t>Insert → Insert Scatter (X, Y) or Bubble Chart → Scatter with Straight Lines and Markers.</w:t>
            </w:r>
          </w:p>
          <w:p>
            <w:pPr>
              <w:spacing w:after="40"/>
              <w:ind w:left="340"/>
              <w:jc w:val="both"/>
            </w:pPr>
            <w:r>
              <w:rPr>
                <w:b/>
                <w:sz w:val="19"/>
              </w:rPr>
              <w:t xml:space="preserve">4.  </w:t>
            </w:r>
            <w:r>
              <w:rPr>
                <w:sz w:val="19"/>
              </w:rPr>
              <w:t>IMPORTANT: use Scatter, not Line. The ages 1, 3, 7, 14, 28, 56, 90 are unevenly spaced. A Line chart would space them equally and distort the curve shape.</w:t>
            </w:r>
          </w:p>
          <w:p>
            <w:pPr>
              <w:spacing w:after="40"/>
              <w:ind w:left="340"/>
              <w:jc w:val="both"/>
            </w:pPr>
            <w:r>
              <w:rPr>
                <w:b/>
                <w:sz w:val="19"/>
              </w:rPr>
              <w:t xml:space="preserve">5.  </w:t>
            </w:r>
            <w:r>
              <w:rPr>
                <w:sz w:val="19"/>
              </w:rPr>
              <w:t>Right-click the horizontal axis → Format Axis → tick Logarithmic scale, base 10. This spreads the early ages out so the important region is visible.</w:t>
            </w:r>
          </w:p>
          <w:p>
            <w:pPr>
              <w:spacing w:after="40"/>
              <w:ind w:left="340"/>
              <w:jc w:val="both"/>
            </w:pPr>
            <w:r>
              <w:rPr>
                <w:b/>
                <w:sz w:val="19"/>
              </w:rPr>
              <w:t xml:space="preserve">6.  </w:t>
            </w:r>
            <w:r>
              <w:rPr>
                <w:sz w:val="19"/>
              </w:rPr>
              <w:t>Add axis titles: 'Age (days)' and 'Strength ÷ 28-day OPC strength'.</w:t>
            </w:r>
          </w:p>
          <w:p>
            <w:pPr>
              <w:spacing w:after="40"/>
              <w:ind w:left="340"/>
              <w:jc w:val="both"/>
            </w:pPr>
            <w:r>
              <w:rPr>
                <w:b/>
                <w:sz w:val="19"/>
              </w:rPr>
              <w:t xml:space="preserve">7.  </w:t>
            </w:r>
            <w:r>
              <w:rPr>
                <w:sz w:val="19"/>
              </w:rPr>
              <w:t>To mark the 7-day and 28-day lines: Insert → Shapes → Line, and draw a vertical dashed line at each position. Add text boxes labelling them.</w:t>
            </w:r>
          </w:p>
        </w:tc>
      </w:tr>
    </w:tbl>
    <w:p>
      <w:pPr>
        <w:spacing w:after="160"/>
      </w:pPr>
    </w:p>
    <w:p>
      <w:r>
        <w:br w:type="page"/>
      </w:r>
    </w:p>
    <w:p>
      <w:pPr>
        <w:pStyle w:val="Heading2"/>
      </w:pPr>
      <w:r>
        <w:t>Dataset 4 — Consequences of the 28-day wait</w:t>
      </w:r>
    </w:p>
    <w:tbl>
      <w:tblPr>
        <w:tblStyle w:val="TableGrid"/>
        <w:tblW w:type="auto" w:w="0"/>
        <w:jc w:val="center"/>
        <w:tblLook w:firstColumn="1" w:firstRow="1" w:lastColumn="0" w:lastRow="0" w:noHBand="0" w:noVBand="1" w:val="04A0"/>
      </w:tblPr>
      <w:tblGrid>
        <w:gridCol w:w="3118"/>
        <w:gridCol w:w="3118"/>
        <w:gridCol w:w="3118"/>
      </w:tblGrid>
      <w:tr>
        <w:tc>
          <w:tcPr>
            <w:tcW w:type="dxa" w:w="4309"/>
            <w:shd w:val="clear" w:color="auto" w:fill="1F3B5C"/>
          </w:tcPr>
          <w:p>
            <w:pPr>
              <w:jc w:val="center"/>
            </w:pPr>
            <w:r/>
            <w:r>
              <w:rPr>
                <w:b/>
                <w:color w:val="FFFFFF"/>
                <w:sz w:val="19"/>
              </w:rPr>
              <w:t>Consequence of waiting</w:t>
            </w:r>
          </w:p>
        </w:tc>
        <w:tc>
          <w:tcPr>
            <w:tcW w:type="dxa" w:w="2494"/>
            <w:shd w:val="clear" w:color="auto" w:fill="1F3B5C"/>
          </w:tcPr>
          <w:p>
            <w:pPr>
              <w:jc w:val="center"/>
            </w:pPr>
            <w:r/>
            <w:r>
              <w:rPr>
                <w:b/>
                <w:color w:val="FFFFFF"/>
                <w:sz w:val="19"/>
              </w:rPr>
              <w:t>Share of the cost (%)</w:t>
            </w:r>
          </w:p>
        </w:tc>
        <w:tc>
          <w:tcPr>
            <w:tcW w:type="dxa" w:w="2268"/>
            <w:shd w:val="clear" w:color="auto" w:fill="1F3B5C"/>
          </w:tcPr>
          <w:p>
            <w:pPr>
              <w:jc w:val="center"/>
            </w:pPr>
            <w:r/>
            <w:r>
              <w:rPr>
                <w:b/>
                <w:color w:val="FFFFFF"/>
                <w:sz w:val="19"/>
              </w:rPr>
              <w:t>Origin</w:t>
            </w:r>
          </w:p>
        </w:tc>
      </w:tr>
      <w:tr>
        <w:tc>
          <w:tcPr>
            <w:tcW w:type="dxa" w:w="4309"/>
          </w:tcPr>
          <w:p>
            <w:pPr>
              <w:spacing w:after="40"/>
            </w:pPr>
            <w:r/>
            <w:r>
              <w:rPr>
                <w:b w:val="0"/>
                <w:sz w:val="19"/>
              </w:rPr>
              <w:t>Formwork locked — cannot be struck</w:t>
            </w:r>
          </w:p>
        </w:tc>
        <w:tc>
          <w:tcPr>
            <w:tcW w:type="dxa" w:w="2494"/>
          </w:tcPr>
          <w:p>
            <w:pPr>
              <w:spacing w:after="40"/>
            </w:pPr>
            <w:r/>
            <w:r>
              <w:rPr>
                <w:b w:val="0"/>
                <w:sz w:val="19"/>
              </w:rPr>
              <w:t>30</w:t>
            </w:r>
          </w:p>
        </w:tc>
        <w:tc>
          <w:tcPr>
            <w:tcW w:type="dxa" w:w="2268"/>
          </w:tcPr>
          <w:p>
            <w:pPr>
              <w:spacing w:after="40"/>
            </w:pPr>
            <w:r/>
            <w:r>
              <w:rPr>
                <w:b w:val="0"/>
                <w:sz w:val="19"/>
              </w:rPr>
              <w:t>[I]</w:t>
            </w:r>
          </w:p>
        </w:tc>
      </w:tr>
      <w:tr>
        <w:tc>
          <w:tcPr>
            <w:tcW w:type="dxa" w:w="4309"/>
          </w:tcPr>
          <w:p>
            <w:pPr>
              <w:spacing w:after="40"/>
            </w:pPr>
            <w:r/>
            <w:r>
              <w:rPr>
                <w:b w:val="0"/>
                <w:sz w:val="19"/>
              </w:rPr>
              <w:t>Floor-to-floor cycle delay</w:t>
            </w:r>
          </w:p>
        </w:tc>
        <w:tc>
          <w:tcPr>
            <w:tcW w:type="dxa" w:w="2494"/>
          </w:tcPr>
          <w:p>
            <w:pPr>
              <w:spacing w:after="40"/>
            </w:pPr>
            <w:r/>
            <w:r>
              <w:rPr>
                <w:b w:val="0"/>
                <w:sz w:val="19"/>
              </w:rPr>
              <w:t>25</w:t>
            </w:r>
          </w:p>
        </w:tc>
        <w:tc>
          <w:tcPr>
            <w:tcW w:type="dxa" w:w="2268"/>
          </w:tcPr>
          <w:p>
            <w:pPr>
              <w:spacing w:after="40"/>
            </w:pPr>
            <w:r/>
            <w:r>
              <w:rPr>
                <w:b w:val="0"/>
                <w:sz w:val="19"/>
              </w:rPr>
              <w:t>[I]</w:t>
            </w:r>
          </w:p>
        </w:tc>
      </w:tr>
      <w:tr>
        <w:tc>
          <w:tcPr>
            <w:tcW w:type="dxa" w:w="4309"/>
          </w:tcPr>
          <w:p>
            <w:pPr>
              <w:spacing w:after="40"/>
            </w:pPr>
            <w:r/>
            <w:r>
              <w:rPr>
                <w:b w:val="0"/>
                <w:sz w:val="19"/>
              </w:rPr>
              <w:t>Rework when cubes fail at 28 days</w:t>
            </w:r>
          </w:p>
        </w:tc>
        <w:tc>
          <w:tcPr>
            <w:tcW w:type="dxa" w:w="2494"/>
          </w:tcPr>
          <w:p>
            <w:pPr>
              <w:spacing w:after="40"/>
            </w:pPr>
            <w:r/>
            <w:r>
              <w:rPr>
                <w:b w:val="0"/>
                <w:sz w:val="19"/>
              </w:rPr>
              <w:t>20</w:t>
            </w:r>
          </w:p>
        </w:tc>
        <w:tc>
          <w:tcPr>
            <w:tcW w:type="dxa" w:w="2268"/>
          </w:tcPr>
          <w:p>
            <w:pPr>
              <w:spacing w:after="40"/>
            </w:pPr>
            <w:r/>
            <w:r>
              <w:rPr>
                <w:b w:val="0"/>
                <w:sz w:val="19"/>
              </w:rPr>
              <w:t>[I]</w:t>
            </w:r>
          </w:p>
        </w:tc>
      </w:tr>
      <w:tr>
        <w:tc>
          <w:tcPr>
            <w:tcW w:type="dxa" w:w="4309"/>
          </w:tcPr>
          <w:p>
            <w:pPr>
              <w:spacing w:after="40"/>
            </w:pPr>
            <w:r/>
            <w:r>
              <w:rPr>
                <w:b w:val="0"/>
                <w:sz w:val="19"/>
              </w:rPr>
              <w:t>Disputes and re-testing</w:t>
            </w:r>
          </w:p>
        </w:tc>
        <w:tc>
          <w:tcPr>
            <w:tcW w:type="dxa" w:w="2494"/>
          </w:tcPr>
          <w:p>
            <w:pPr>
              <w:spacing w:after="40"/>
            </w:pPr>
            <w:r/>
            <w:r>
              <w:rPr>
                <w:b w:val="0"/>
                <w:sz w:val="19"/>
              </w:rPr>
              <w:t>10</w:t>
            </w:r>
          </w:p>
        </w:tc>
        <w:tc>
          <w:tcPr>
            <w:tcW w:type="dxa" w:w="2268"/>
          </w:tcPr>
          <w:p>
            <w:pPr>
              <w:spacing w:after="40"/>
            </w:pPr>
            <w:r/>
            <w:r>
              <w:rPr>
                <w:b w:val="0"/>
                <w:sz w:val="19"/>
              </w:rPr>
              <w:t>[I]</w:t>
            </w:r>
          </w:p>
        </w:tc>
      </w:tr>
      <w:tr>
        <w:tc>
          <w:tcPr>
            <w:tcW w:type="dxa" w:w="4309"/>
          </w:tcPr>
          <w:p>
            <w:pPr>
              <w:spacing w:after="40"/>
            </w:pPr>
            <w:r/>
            <w:r>
              <w:rPr>
                <w:b w:val="0"/>
                <w:sz w:val="19"/>
              </w:rPr>
              <w:t>Overdesign 'just in case'</w:t>
            </w:r>
          </w:p>
        </w:tc>
        <w:tc>
          <w:tcPr>
            <w:tcW w:type="dxa" w:w="2494"/>
          </w:tcPr>
          <w:p>
            <w:pPr>
              <w:spacing w:after="40"/>
            </w:pPr>
            <w:r/>
            <w:r>
              <w:rPr>
                <w:b w:val="0"/>
                <w:sz w:val="19"/>
              </w:rPr>
              <w:t>15</w:t>
            </w:r>
          </w:p>
        </w:tc>
        <w:tc>
          <w:tcPr>
            <w:tcW w:type="dxa" w:w="2268"/>
          </w:tcPr>
          <w:p>
            <w:pPr>
              <w:spacing w:after="40"/>
            </w:pPr>
            <w:r/>
            <w:r>
              <w:rPr>
                <w:b w:val="0"/>
                <w:sz w:val="19"/>
              </w:rPr>
              <w:t>[I]</w:t>
            </w:r>
          </w:p>
        </w:tc>
      </w:tr>
      <w:tr>
        <w:tc>
          <w:tcPr>
            <w:tcW w:type="dxa" w:w="4309"/>
          </w:tcPr>
          <w:p>
            <w:pPr>
              <w:spacing w:after="40"/>
            </w:pPr>
            <w:r/>
            <w:r>
              <w:rPr>
                <w:b/>
                <w:sz w:val="19"/>
              </w:rPr>
              <w:t>Total</w:t>
            </w:r>
          </w:p>
        </w:tc>
        <w:tc>
          <w:tcPr>
            <w:tcW w:type="dxa" w:w="2494"/>
          </w:tcPr>
          <w:p>
            <w:pPr>
              <w:spacing w:after="40"/>
            </w:pPr>
            <w:r/>
            <w:r>
              <w:rPr>
                <w:b/>
                <w:sz w:val="19"/>
              </w:rPr>
              <w:t>100</w:t>
            </w:r>
          </w:p>
        </w:tc>
        <w:tc>
          <w:tcPr>
            <w:tcW w:type="dxa" w:w="2268"/>
          </w:tcPr>
          <w:p>
            <w:pPr>
              <w:spacing w:after="40"/>
            </w:pPr>
            <w:r/>
            <w:r>
              <w:rPr>
                <w:b w:val="0"/>
                <w:sz w:val="19"/>
              </w:rPr>
              <w:t>—</w:t>
            </w:r>
          </w:p>
        </w:tc>
      </w:tr>
    </w:tbl>
    <w:p>
      <w:pPr>
        <w:spacing w:after="60"/>
      </w:pPr>
    </w:p>
    <w:tbl>
      <w:tblPr>
        <w:tblStyle w:val="TableGrid"/>
        <w:tblW w:type="auto" w:w="0"/>
        <w:tblLook w:firstColumn="1" w:firstRow="1" w:lastColumn="0" w:lastRow="0" w:noHBand="0" w:noVBand="1" w:val="04A0"/>
      </w:tblPr>
      <w:tblGrid>
        <w:gridCol w:w="9355"/>
      </w:tblGrid>
      <w:tr>
        <w:tc>
          <w:tcPr>
            <w:tcW w:type="dxa" w:w="9071"/>
            <w:shd w:val="clear" w:color="auto" w:fill="FFF8E1"/>
          </w:tcPr>
          <w:p>
            <w:pPr>
              <w:spacing w:after="60"/>
            </w:pPr>
            <w:r/>
            <w:r>
              <w:rPr>
                <w:b/>
                <w:color w:val="B8860B"/>
                <w:sz w:val="21"/>
              </w:rPr>
              <w:t>Action for the team</w:t>
            </w:r>
          </w:p>
          <w:p>
            <w:pPr>
              <w:jc w:val="both"/>
            </w:pPr>
            <w:r>
              <w:rPr>
                <w:sz w:val="20"/>
              </w:rPr>
              <w:t>This entire table is [I] — illustrative. It shows the shape of the problem but it is not evidence. Replace it with real numbers by asking ten site engineers a single question: 'When your 28-day cube result is delayed or disappointing, what does it actually cost you?' Ten short conversations convert this from a guess into a finding, and it becomes the opening section of your paper.</w:t>
            </w:r>
          </w:p>
        </w:tc>
      </w:tr>
    </w:tbl>
    <w:p>
      <w:pPr>
        <w:spacing w:after="120"/>
      </w:pPr>
    </w:p>
    <w:p>
      <w:pPr>
        <w:jc w:val="center"/>
      </w:pPr>
      <w:r>
        <w:drawing>
          <wp:inline xmlns:a="http://schemas.openxmlformats.org/drawingml/2006/main" xmlns:pic="http://schemas.openxmlformats.org/drawingml/2006/picture">
            <wp:extent cx="4500000" cy="4028716"/>
            <wp:docPr id="4" name="Picture 4"/>
            <wp:cNvGraphicFramePr>
              <a:graphicFrameLocks noChangeAspect="1"/>
            </wp:cNvGraphicFramePr>
            <a:graphic>
              <a:graphicData uri="http://schemas.openxmlformats.org/drawingml/2006/picture">
                <pic:pic>
                  <pic:nvPicPr>
                    <pic:cNvPr id="0" name="fig3_wait_cost.png"/>
                    <pic:cNvPicPr/>
                  </pic:nvPicPr>
                  <pic:blipFill>
                    <a:blip r:embed="rId12"/>
                    <a:stretch>
                      <a:fillRect/>
                    </a:stretch>
                  </pic:blipFill>
                  <pic:spPr>
                    <a:xfrm>
                      <a:off x="0" y="0"/>
                      <a:ext cx="4500000" cy="4028716"/>
                    </a:xfrm>
                    <a:prstGeom prst="rect"/>
                  </pic:spPr>
                </pic:pic>
              </a:graphicData>
            </a:graphic>
          </wp:inline>
        </w:drawing>
      </w:r>
    </w:p>
    <w:p>
      <w:pPr>
        <w:spacing w:after="200"/>
        <w:jc w:val="center"/>
      </w:pPr>
      <w:r>
        <w:rPr>
          <w:i/>
          <w:color w:val="5D6B7A"/>
          <w:sz w:val="17"/>
        </w:rPr>
        <w:t>Figure 4 — Illustrative distribution of the cost of the 28-day wait.</w:t>
      </w: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4 (Pie chart)</w:t>
            </w:r>
          </w:p>
          <w:p>
            <w:pPr>
              <w:spacing w:after="40"/>
              <w:ind w:left="340"/>
              <w:jc w:val="both"/>
            </w:pPr>
            <w:r>
              <w:rPr>
                <w:b/>
                <w:sz w:val="19"/>
              </w:rPr>
              <w:t xml:space="preserve">1.  </w:t>
            </w:r>
            <w:r>
              <w:rPr>
                <w:sz w:val="19"/>
              </w:rPr>
              <w:t>Enter the five consequences in A2:A6 and their percentages in B2:B6.</w:t>
            </w:r>
          </w:p>
          <w:p>
            <w:pPr>
              <w:spacing w:after="40"/>
              <w:ind w:left="340"/>
              <w:jc w:val="both"/>
            </w:pPr>
            <w:r>
              <w:rPr>
                <w:b/>
                <w:sz w:val="19"/>
              </w:rPr>
              <w:t xml:space="preserve">2.  </w:t>
            </w:r>
            <w:r>
              <w:rPr>
                <w:sz w:val="19"/>
              </w:rPr>
              <w:t>Select A2:B6 (do not include the Total row — Excel would draw it as a slice).</w:t>
            </w:r>
          </w:p>
          <w:p>
            <w:pPr>
              <w:spacing w:after="40"/>
              <w:ind w:left="340"/>
              <w:jc w:val="both"/>
            </w:pPr>
            <w:r>
              <w:rPr>
                <w:b/>
                <w:sz w:val="19"/>
              </w:rPr>
              <w:t xml:space="preserve">3.  </w:t>
            </w:r>
            <w:r>
              <w:rPr>
                <w:sz w:val="19"/>
              </w:rPr>
              <w:t>Insert → Insert Pie or Doughnut Chart → Pie.</w:t>
            </w:r>
          </w:p>
          <w:p>
            <w:pPr>
              <w:spacing w:after="40"/>
              <w:ind w:left="340"/>
              <w:jc w:val="both"/>
            </w:pPr>
            <w:r>
              <w:rPr>
                <w:b/>
                <w:sz w:val="19"/>
              </w:rPr>
              <w:t xml:space="preserve">4.  </w:t>
            </w:r>
            <w:r>
              <w:rPr>
                <w:sz w:val="19"/>
              </w:rPr>
              <w:t>Click + → Data Labels → More Options → tick both Category Name and Percentage.</w:t>
            </w:r>
          </w:p>
          <w:p>
            <w:pPr>
              <w:spacing w:after="40"/>
              <w:ind w:left="340"/>
              <w:jc w:val="both"/>
            </w:pPr>
            <w:r>
              <w:rPr>
                <w:b/>
                <w:sz w:val="19"/>
              </w:rPr>
              <w:t xml:space="preserve">5.  </w:t>
            </w:r>
            <w:r>
              <w:rPr>
                <w:sz w:val="19"/>
              </w:rPr>
              <w:t>Right-click any slice → Format Data Series → set Angle of first slice to about 100 degrees so the largest slice starts at the top.</w:t>
            </w:r>
          </w:p>
          <w:p>
            <w:pPr>
              <w:spacing w:after="40"/>
              <w:ind w:left="340"/>
              <w:jc w:val="both"/>
            </w:pPr>
            <w:r>
              <w:rPr>
                <w:b/>
                <w:sz w:val="19"/>
              </w:rPr>
              <w:t xml:space="preserve">6.  </w:t>
            </w:r>
            <w:r>
              <w:rPr>
                <w:sz w:val="19"/>
              </w:rPr>
              <w:t>Right-click each slice individually to set its colour; use one colour family from dark to light so it prints clearly in greyscale.</w:t>
            </w:r>
          </w:p>
          <w:p>
            <w:pPr>
              <w:spacing w:after="40"/>
              <w:ind w:left="340"/>
              <w:jc w:val="both"/>
            </w:pPr>
            <w:r>
              <w:rPr>
                <w:b/>
                <w:sz w:val="19"/>
              </w:rPr>
              <w:t xml:space="preserve">7.  </w:t>
            </w:r>
            <w:r>
              <w:rPr>
                <w:sz w:val="19"/>
              </w:rPr>
              <w:t>Add a chart title stating clearly that the data is illustrative.</w:t>
            </w:r>
          </w:p>
        </w:tc>
      </w:tr>
    </w:tbl>
    <w:p>
      <w:pPr>
        <w:spacing w:after="160"/>
      </w:pPr>
    </w:p>
    <w:p>
      <w:r>
        <w:br w:type="page"/>
      </w:r>
    </w:p>
    <w:p>
      <w:pPr>
        <w:pStyle w:val="Heading1"/>
      </w:pPr>
      <w:r>
        <w:t>PART C — PROJECT C4: SCM SUBSTITUTION OPTIMISER</w:t>
      </w:r>
    </w:p>
    <w:p>
      <w:pPr>
        <w:pStyle w:val="Heading2"/>
      </w:pPr>
      <w:r>
        <w:t>Dataset 5 — Published cost comparisons: the contradiction</w:t>
      </w:r>
    </w:p>
    <w:p>
      <w:pPr>
        <w:jc w:val="both"/>
      </w:pPr>
      <w:r>
        <w:rPr>
          <w:b w:val="0"/>
          <w:i w:val="0"/>
        </w:rPr>
        <w:t>This is the single strongest justification for Project C4. Every value below is taken from a published study. They do not agree with one another.</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061"/>
            <w:shd w:val="clear" w:color="auto" w:fill="1F3B5C"/>
          </w:tcPr>
          <w:p>
            <w:pPr>
              <w:jc w:val="center"/>
            </w:pPr>
            <w:r/>
            <w:r>
              <w:rPr>
                <w:b/>
                <w:color w:val="FFFFFF"/>
                <w:sz w:val="18"/>
              </w:rPr>
              <w:t>Study</w:t>
            </w:r>
          </w:p>
        </w:tc>
        <w:tc>
          <w:tcPr>
            <w:tcW w:type="dxa" w:w="2608"/>
            <w:shd w:val="clear" w:color="auto" w:fill="1F3B5C"/>
          </w:tcPr>
          <w:p>
            <w:pPr>
              <w:jc w:val="center"/>
            </w:pPr>
            <w:r/>
            <w:r>
              <w:rPr>
                <w:b/>
                <w:color w:val="FFFFFF"/>
                <w:sz w:val="18"/>
              </w:rPr>
              <w:t>System</w:t>
            </w:r>
          </w:p>
        </w:tc>
        <w:tc>
          <w:tcPr>
            <w:tcW w:type="dxa" w:w="2041"/>
            <w:shd w:val="clear" w:color="auto" w:fill="1F3B5C"/>
          </w:tcPr>
          <w:p>
            <w:pPr>
              <w:jc w:val="center"/>
            </w:pPr>
            <w:r/>
            <w:r>
              <w:rPr>
                <w:b/>
                <w:color w:val="FFFFFF"/>
                <w:sz w:val="18"/>
              </w:rPr>
              <w:t>Cost vs OPC (%)</w:t>
            </w:r>
          </w:p>
        </w:tc>
        <w:tc>
          <w:tcPr>
            <w:tcW w:type="dxa" w:w="1361"/>
            <w:shd w:val="clear" w:color="auto" w:fill="1F3B5C"/>
          </w:tcPr>
          <w:p>
            <w:pPr>
              <w:jc w:val="center"/>
            </w:pPr>
            <w:r/>
            <w:r>
              <w:rPr>
                <w:b/>
                <w:color w:val="FFFFFF"/>
                <w:sz w:val="18"/>
              </w:rPr>
              <w:t>Origin</w:t>
            </w:r>
          </w:p>
        </w:tc>
      </w:tr>
      <w:tr>
        <w:tc>
          <w:tcPr>
            <w:tcW w:type="dxa" w:w="3061"/>
          </w:tcPr>
          <w:p>
            <w:pPr>
              <w:spacing w:after="40"/>
            </w:pPr>
            <w:r/>
            <w:r>
              <w:rPr>
                <w:b w:val="0"/>
                <w:sz w:val="18"/>
              </w:rPr>
              <w:t>Wiley 2022 (M30)</w:t>
            </w:r>
          </w:p>
        </w:tc>
        <w:tc>
          <w:tcPr>
            <w:tcW w:type="dxa" w:w="2608"/>
          </w:tcPr>
          <w:p>
            <w:pPr>
              <w:spacing w:after="40"/>
            </w:pPr>
            <w:r/>
            <w:r>
              <w:rPr>
                <w:b w:val="0"/>
                <w:sz w:val="18"/>
              </w:rPr>
              <w:t>Geopolymer, materials only</w:t>
            </w:r>
          </w:p>
        </w:tc>
        <w:tc>
          <w:tcPr>
            <w:tcW w:type="dxa" w:w="2041"/>
          </w:tcPr>
          <w:p>
            <w:pPr>
              <w:spacing w:after="40"/>
            </w:pPr>
            <w:r/>
            <w:r>
              <w:rPr>
                <w:b w:val="0"/>
                <w:color w:val="0F7B4F"/>
                <w:sz w:val="18"/>
              </w:rPr>
              <w:t>−40.0</w:t>
            </w:r>
          </w:p>
        </w:tc>
        <w:tc>
          <w:tcPr>
            <w:tcW w:type="dxa" w:w="1361"/>
          </w:tcPr>
          <w:p>
            <w:pPr>
              <w:spacing w:after="40"/>
            </w:pPr>
            <w:r/>
            <w:r>
              <w:rPr>
                <w:b w:val="0"/>
                <w:sz w:val="18"/>
              </w:rPr>
              <w:t>[S]</w:t>
            </w:r>
          </w:p>
        </w:tc>
      </w:tr>
      <w:tr>
        <w:tc>
          <w:tcPr>
            <w:tcW w:type="dxa" w:w="3061"/>
          </w:tcPr>
          <w:p>
            <w:pPr>
              <w:spacing w:after="40"/>
            </w:pPr>
            <w:r/>
            <w:r>
              <w:rPr>
                <w:b w:val="0"/>
                <w:sz w:val="18"/>
              </w:rPr>
              <w:t>Umm Al-Qura 2025 (Pakistan)</w:t>
            </w:r>
          </w:p>
        </w:tc>
        <w:tc>
          <w:tcPr>
            <w:tcW w:type="dxa" w:w="2608"/>
          </w:tcPr>
          <w:p>
            <w:pPr>
              <w:spacing w:after="40"/>
            </w:pPr>
            <w:r/>
            <w:r>
              <w:rPr>
                <w:b w:val="0"/>
                <w:sz w:val="18"/>
              </w:rPr>
              <w:t>GPC, fly ash + GGBFS</w:t>
            </w:r>
          </w:p>
        </w:tc>
        <w:tc>
          <w:tcPr>
            <w:tcW w:type="dxa" w:w="2041"/>
          </w:tcPr>
          <w:p>
            <w:pPr>
              <w:spacing w:after="40"/>
            </w:pPr>
            <w:r/>
            <w:r>
              <w:rPr>
                <w:b w:val="0"/>
                <w:color w:val="0F7B4F"/>
                <w:sz w:val="18"/>
              </w:rPr>
              <w:t>−21.9</w:t>
            </w:r>
          </w:p>
        </w:tc>
        <w:tc>
          <w:tcPr>
            <w:tcW w:type="dxa" w:w="1361"/>
          </w:tcPr>
          <w:p>
            <w:pPr>
              <w:spacing w:after="40"/>
            </w:pPr>
            <w:r/>
            <w:r>
              <w:rPr>
                <w:b w:val="0"/>
                <w:sz w:val="18"/>
              </w:rPr>
              <w:t>[S]</w:t>
            </w:r>
          </w:p>
        </w:tc>
      </w:tr>
      <w:tr>
        <w:tc>
          <w:tcPr>
            <w:tcW w:type="dxa" w:w="3061"/>
          </w:tcPr>
          <w:p>
            <w:pPr>
              <w:spacing w:after="40"/>
            </w:pPr>
            <w:r/>
            <w:r>
              <w:rPr>
                <w:b w:val="0"/>
                <w:sz w:val="18"/>
              </w:rPr>
              <w:t>Frontiers 2023 (M40/M50)</w:t>
            </w:r>
          </w:p>
        </w:tc>
        <w:tc>
          <w:tcPr>
            <w:tcW w:type="dxa" w:w="2608"/>
          </w:tcPr>
          <w:p>
            <w:pPr>
              <w:spacing w:after="40"/>
            </w:pPr>
            <w:r/>
            <w:r>
              <w:rPr>
                <w:b w:val="0"/>
                <w:sz w:val="18"/>
              </w:rPr>
              <w:t>GPC, thin white-topping</w:t>
            </w:r>
          </w:p>
        </w:tc>
        <w:tc>
          <w:tcPr>
            <w:tcW w:type="dxa" w:w="2041"/>
          </w:tcPr>
          <w:p>
            <w:pPr>
              <w:spacing w:after="40"/>
            </w:pPr>
            <w:r/>
            <w:r>
              <w:rPr>
                <w:b w:val="0"/>
                <w:color w:val="0F7B4F"/>
                <w:sz w:val="18"/>
              </w:rPr>
              <w:t>−8.0</w:t>
            </w:r>
          </w:p>
        </w:tc>
        <w:tc>
          <w:tcPr>
            <w:tcW w:type="dxa" w:w="1361"/>
          </w:tcPr>
          <w:p>
            <w:pPr>
              <w:spacing w:after="40"/>
            </w:pPr>
            <w:r/>
            <w:r>
              <w:rPr>
                <w:b w:val="0"/>
                <w:sz w:val="18"/>
              </w:rPr>
              <w:t>[S]</w:t>
            </w:r>
          </w:p>
        </w:tc>
      </w:tr>
      <w:tr>
        <w:tc>
          <w:tcPr>
            <w:tcW w:type="dxa" w:w="3061"/>
          </w:tcPr>
          <w:p>
            <w:pPr>
              <w:spacing w:after="40"/>
            </w:pPr>
            <w:r/>
            <w:r>
              <w:rPr>
                <w:b w:val="0"/>
                <w:sz w:val="18"/>
              </w:rPr>
              <w:t>Thaarrini &amp; Dhivya (M30)</w:t>
            </w:r>
          </w:p>
        </w:tc>
        <w:tc>
          <w:tcPr>
            <w:tcW w:type="dxa" w:w="2608"/>
          </w:tcPr>
          <w:p>
            <w:pPr>
              <w:spacing w:after="40"/>
            </w:pPr>
            <w:r/>
            <w:r>
              <w:rPr>
                <w:b w:val="0"/>
                <w:sz w:val="18"/>
              </w:rPr>
              <w:t>GPC</w:t>
            </w:r>
          </w:p>
        </w:tc>
        <w:tc>
          <w:tcPr>
            <w:tcW w:type="dxa" w:w="2041"/>
          </w:tcPr>
          <w:p>
            <w:pPr>
              <w:spacing w:after="40"/>
            </w:pPr>
            <w:r/>
            <w:r>
              <w:rPr>
                <w:b w:val="0"/>
                <w:color w:val="B3261E"/>
                <w:sz w:val="18"/>
              </w:rPr>
              <w:t>+1.7</w:t>
            </w:r>
          </w:p>
        </w:tc>
        <w:tc>
          <w:tcPr>
            <w:tcW w:type="dxa" w:w="1361"/>
          </w:tcPr>
          <w:p>
            <w:pPr>
              <w:spacing w:after="40"/>
            </w:pPr>
            <w:r/>
            <w:r>
              <w:rPr>
                <w:b w:val="0"/>
                <w:sz w:val="18"/>
              </w:rPr>
              <w:t>[S]</w:t>
            </w:r>
          </w:p>
        </w:tc>
      </w:tr>
      <w:tr>
        <w:tc>
          <w:tcPr>
            <w:tcW w:type="dxa" w:w="3061"/>
          </w:tcPr>
          <w:p>
            <w:pPr>
              <w:spacing w:after="40"/>
            </w:pPr>
            <w:r/>
            <w:r>
              <w:rPr>
                <w:b w:val="0"/>
                <w:sz w:val="18"/>
              </w:rPr>
              <w:t>ResearchGate (FA + GGBS)</w:t>
            </w:r>
          </w:p>
        </w:tc>
        <w:tc>
          <w:tcPr>
            <w:tcW w:type="dxa" w:w="2608"/>
          </w:tcPr>
          <w:p>
            <w:pPr>
              <w:spacing w:after="40"/>
            </w:pPr>
            <w:r/>
            <w:r>
              <w:rPr>
                <w:b w:val="0"/>
                <w:sz w:val="18"/>
              </w:rPr>
              <w:t>GPC</w:t>
            </w:r>
          </w:p>
        </w:tc>
        <w:tc>
          <w:tcPr>
            <w:tcW w:type="dxa" w:w="2041"/>
          </w:tcPr>
          <w:p>
            <w:pPr>
              <w:spacing w:after="40"/>
            </w:pPr>
            <w:r/>
            <w:r>
              <w:rPr>
                <w:b w:val="0"/>
                <w:color w:val="B3261E"/>
                <w:sz w:val="18"/>
              </w:rPr>
              <w:t>+17.6</w:t>
            </w:r>
          </w:p>
        </w:tc>
        <w:tc>
          <w:tcPr>
            <w:tcW w:type="dxa" w:w="1361"/>
          </w:tcPr>
          <w:p>
            <w:pPr>
              <w:spacing w:after="40"/>
            </w:pPr>
            <w:r/>
            <w:r>
              <w:rPr>
                <w:b w:val="0"/>
                <w:sz w:val="18"/>
              </w:rPr>
              <w:t>[S]</w:t>
            </w:r>
          </w:p>
        </w:tc>
      </w:tr>
      <w:tr>
        <w:tc>
          <w:tcPr>
            <w:tcW w:type="dxa" w:w="3061"/>
          </w:tcPr>
          <w:p>
            <w:pPr>
              <w:spacing w:after="40"/>
            </w:pPr>
            <w:r/>
            <w:r>
              <w:rPr>
                <w:b w:val="0"/>
                <w:sz w:val="18"/>
              </w:rPr>
              <w:t>Nature Sci. Reports 2025</w:t>
            </w:r>
          </w:p>
        </w:tc>
        <w:tc>
          <w:tcPr>
            <w:tcW w:type="dxa" w:w="2608"/>
          </w:tcPr>
          <w:p>
            <w:pPr>
              <w:spacing w:after="40"/>
            </w:pPr>
            <w:r/>
            <w:r>
              <w:rPr>
                <w:b w:val="0"/>
                <w:sz w:val="18"/>
              </w:rPr>
              <w:t>GPC, alkalis hauled 300 km</w:t>
            </w:r>
          </w:p>
        </w:tc>
        <w:tc>
          <w:tcPr>
            <w:tcW w:type="dxa" w:w="2041"/>
          </w:tcPr>
          <w:p>
            <w:pPr>
              <w:spacing w:after="40"/>
            </w:pPr>
            <w:r/>
            <w:r>
              <w:rPr>
                <w:b w:val="0"/>
                <w:color w:val="B3261E"/>
                <w:sz w:val="18"/>
              </w:rPr>
              <w:t>+25.0</w:t>
            </w:r>
          </w:p>
        </w:tc>
        <w:tc>
          <w:tcPr>
            <w:tcW w:type="dxa" w:w="1361"/>
          </w:tcPr>
          <w:p>
            <w:pPr>
              <w:spacing w:after="40"/>
            </w:pPr>
            <w:r/>
            <w:r>
              <w:rPr>
                <w:b w:val="0"/>
                <w:sz w:val="18"/>
              </w:rPr>
              <w:t>[S]</w:t>
            </w:r>
          </w:p>
        </w:tc>
      </w:tr>
      <w:tr>
        <w:tc>
          <w:tcPr>
            <w:tcW w:type="dxa" w:w="3061"/>
          </w:tcPr>
          <w:p>
            <w:pPr>
              <w:spacing w:after="40"/>
            </w:pPr>
            <w:r/>
            <w:r>
              <w:rPr>
                <w:b w:val="0"/>
                <w:sz w:val="18"/>
              </w:rPr>
              <w:t>ScienceDirect 2024</w:t>
            </w:r>
          </w:p>
        </w:tc>
        <w:tc>
          <w:tcPr>
            <w:tcW w:type="dxa" w:w="2608"/>
          </w:tcPr>
          <w:p>
            <w:pPr>
              <w:spacing w:after="40"/>
            </w:pPr>
            <w:r/>
            <w:r>
              <w:rPr>
                <w:b w:val="0"/>
                <w:sz w:val="18"/>
              </w:rPr>
              <w:t>Slag-based GPC</w:t>
            </w:r>
          </w:p>
        </w:tc>
        <w:tc>
          <w:tcPr>
            <w:tcW w:type="dxa" w:w="2041"/>
          </w:tcPr>
          <w:p>
            <w:pPr>
              <w:spacing w:after="40"/>
            </w:pPr>
            <w:r/>
            <w:r>
              <w:rPr>
                <w:b w:val="0"/>
                <w:color w:val="B3261E"/>
                <w:sz w:val="18"/>
              </w:rPr>
              <w:t>+8 to +60</w:t>
            </w:r>
          </w:p>
        </w:tc>
        <w:tc>
          <w:tcPr>
            <w:tcW w:type="dxa" w:w="1361"/>
          </w:tcPr>
          <w:p>
            <w:pPr>
              <w:spacing w:after="40"/>
            </w:pPr>
            <w:r/>
            <w:r>
              <w:rPr>
                <w:b w:val="0"/>
                <w:sz w:val="18"/>
              </w:rPr>
              <w:t>[S]</w:t>
            </w:r>
          </w:p>
        </w:tc>
      </w:tr>
      <w:tr>
        <w:tc>
          <w:tcPr>
            <w:tcW w:type="dxa" w:w="3061"/>
          </w:tcPr>
          <w:p>
            <w:pPr>
              <w:spacing w:after="40"/>
            </w:pPr>
            <w:r/>
            <w:r>
              <w:rPr>
                <w:b w:val="0"/>
                <w:sz w:val="18"/>
              </w:rPr>
              <w:t>Reported for metakaolin</w:t>
            </w:r>
          </w:p>
        </w:tc>
        <w:tc>
          <w:tcPr>
            <w:tcW w:type="dxa" w:w="2608"/>
          </w:tcPr>
          <w:p>
            <w:pPr>
              <w:spacing w:after="40"/>
            </w:pPr>
            <w:r/>
            <w:r>
              <w:rPr>
                <w:b w:val="0"/>
                <w:sz w:val="18"/>
              </w:rPr>
              <w:t>MK-based GPC</w:t>
            </w:r>
          </w:p>
        </w:tc>
        <w:tc>
          <w:tcPr>
            <w:tcW w:type="dxa" w:w="2041"/>
          </w:tcPr>
          <w:p>
            <w:pPr>
              <w:spacing w:after="40"/>
            </w:pPr>
            <w:r/>
            <w:r>
              <w:rPr>
                <w:b w:val="0"/>
                <w:color w:val="B3261E"/>
                <w:sz w:val="18"/>
              </w:rPr>
              <w:t>up to +200</w:t>
            </w:r>
          </w:p>
        </w:tc>
        <w:tc>
          <w:tcPr>
            <w:tcW w:type="dxa" w:w="1361"/>
          </w:tcPr>
          <w:p>
            <w:pPr>
              <w:spacing w:after="40"/>
            </w:pPr>
            <w:r/>
            <w:r>
              <w:rPr>
                <w:b w:val="0"/>
                <w:sz w:val="18"/>
              </w:rPr>
              <w:t>[S]</w:t>
            </w:r>
          </w:p>
        </w:tc>
      </w:tr>
      <w:tr>
        <w:tc>
          <w:tcPr>
            <w:tcW w:type="dxa" w:w="3061"/>
          </w:tcPr>
          <w:p>
            <w:pPr>
              <w:spacing w:after="40"/>
            </w:pPr>
            <w:r/>
            <w:r>
              <w:rPr>
                <w:b/>
                <w:sz w:val="18"/>
              </w:rPr>
              <w:t>Total spread</w:t>
            </w:r>
          </w:p>
        </w:tc>
        <w:tc>
          <w:tcPr>
            <w:tcW w:type="dxa" w:w="2608"/>
          </w:tcPr>
          <w:p>
            <w:pPr>
              <w:spacing w:after="40"/>
            </w:pPr>
            <w:r/>
            <w:r>
              <w:rPr>
                <w:b/>
                <w:sz w:val="18"/>
              </w:rPr>
              <w:t>—</w:t>
            </w:r>
          </w:p>
        </w:tc>
        <w:tc>
          <w:tcPr>
            <w:tcW w:type="dxa" w:w="2041"/>
          </w:tcPr>
          <w:p>
            <w:pPr>
              <w:spacing w:after="40"/>
            </w:pPr>
            <w:r/>
            <w:r>
              <w:rPr>
                <w:b/>
                <w:color w:val="B3261E"/>
                <w:sz w:val="18"/>
              </w:rPr>
              <w:t>−40% to +200%</w:t>
            </w:r>
          </w:p>
        </w:tc>
        <w:tc>
          <w:tcPr>
            <w:tcW w:type="dxa" w:w="1361"/>
          </w:tcPr>
          <w:p>
            <w:pPr>
              <w:spacing w:after="40"/>
            </w:pPr>
            <w:r/>
            <w:r>
              <w:rPr>
                <w:b w:val="0"/>
                <w:sz w:val="18"/>
              </w:rPr>
              <w:t>[C]</w:t>
            </w:r>
          </w:p>
        </w:tc>
      </w:tr>
    </w:tbl>
    <w:p>
      <w:pPr>
        <w:spacing w:after="60"/>
      </w:pPr>
    </w:p>
    <w:p>
      <w:pPr>
        <w:jc w:val="center"/>
      </w:pPr>
      <w:r>
        <w:drawing>
          <wp:inline xmlns:a="http://schemas.openxmlformats.org/drawingml/2006/main" xmlns:pic="http://schemas.openxmlformats.org/drawingml/2006/picture">
            <wp:extent cx="5580000" cy="2700000"/>
            <wp:docPr id="5" name="Picture 5"/>
            <wp:cNvGraphicFramePr>
              <a:graphicFrameLocks noChangeAspect="1"/>
            </wp:cNvGraphicFramePr>
            <a:graphic>
              <a:graphicData uri="http://schemas.openxmlformats.org/drawingml/2006/picture">
                <pic:pic>
                  <pic:nvPicPr>
                    <pic:cNvPr id="0" name="fig6_cost_spread.png"/>
                    <pic:cNvPicPr/>
                  </pic:nvPicPr>
                  <pic:blipFill>
                    <a:blip r:embed="rId13"/>
                    <a:stretch>
                      <a:fillRect/>
                    </a:stretch>
                  </pic:blipFill>
                  <pic:spPr>
                    <a:xfrm>
                      <a:off x="0" y="0"/>
                      <a:ext cx="5580000" cy="2700000"/>
                    </a:xfrm>
                    <a:prstGeom prst="rect"/>
                  </pic:spPr>
                </pic:pic>
              </a:graphicData>
            </a:graphic>
          </wp:inline>
        </w:drawing>
      </w:r>
    </w:p>
    <w:p>
      <w:pPr>
        <w:spacing w:after="200"/>
        <w:jc w:val="center"/>
      </w:pPr>
      <w:r>
        <w:rPr>
          <w:i/>
          <w:color w:val="5D6B7A"/>
          <w:sz w:val="17"/>
        </w:rPr>
        <w:t>Figure 5 — Published cost comparisons. Negative means cheaper than OPC.</w:t>
      </w:r>
    </w:p>
    <w:tbl>
      <w:tblPr>
        <w:tblStyle w:val="TableGrid"/>
        <w:tblW w:type="auto" w:w="0"/>
        <w:tblLook w:firstColumn="1" w:firstRow="1" w:lastColumn="0" w:lastRow="0" w:noHBand="0" w:noVBand="1" w:val="04A0"/>
      </w:tblPr>
      <w:tblGrid>
        <w:gridCol w:w="9355"/>
      </w:tblGrid>
      <w:tr>
        <w:tc>
          <w:tcPr>
            <w:tcW w:type="dxa" w:w="9071"/>
            <w:shd w:val="clear" w:color="auto" w:fill="FBE6E4"/>
          </w:tcPr>
          <w:p>
            <w:pPr>
              <w:spacing w:after="60"/>
            </w:pPr>
            <w:r/>
            <w:r>
              <w:rPr>
                <w:b/>
                <w:color w:val="B3261E"/>
                <w:sz w:val="21"/>
              </w:rPr>
              <w:t>The research gap this exposes — the core of Project C4</w:t>
            </w:r>
          </w:p>
          <w:p>
            <w:pPr>
              <w:jc w:val="both"/>
            </w:pPr>
            <w:r>
              <w:rPr>
                <w:sz w:val="20"/>
              </w:rPr>
              <w:t>A spread from −40% to +200% is not a measurement; it is noise. The cause is that each study reports a single location. Nobody can currently answer the only question a plant manager actually asks: 'Will low-carbon concrete be cheaper FOR ME, HERE, THIS MONTH?' A location-aware and freight-aware cost model does not exist. Building one for Odisha is a genuine and defensible contribution.</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5 (Column chart with negative values)</w:t>
            </w:r>
          </w:p>
          <w:p>
            <w:pPr>
              <w:spacing w:after="40"/>
              <w:ind w:left="340"/>
              <w:jc w:val="both"/>
            </w:pPr>
            <w:r>
              <w:rPr>
                <w:b/>
                <w:sz w:val="19"/>
              </w:rPr>
              <w:t xml:space="preserve">1.  </w:t>
            </w:r>
            <w:r>
              <w:rPr>
                <w:sz w:val="19"/>
              </w:rPr>
              <w:t>Enter the study names in A2:A9 and the percentage values in B2:B9. Enter the negative values with a minus sign, for example −40.</w:t>
            </w:r>
          </w:p>
          <w:p>
            <w:pPr>
              <w:spacing w:after="40"/>
              <w:ind w:left="340"/>
              <w:jc w:val="both"/>
            </w:pPr>
            <w:r>
              <w:rPr>
                <w:b/>
                <w:sz w:val="19"/>
              </w:rPr>
              <w:t xml:space="preserve">2.  </w:t>
            </w:r>
            <w:r>
              <w:rPr>
                <w:sz w:val="19"/>
              </w:rPr>
              <w:t>Where a study gives a range such as '+8 to +60', use the midpoint (34) and note the range in your caption.</w:t>
            </w:r>
          </w:p>
          <w:p>
            <w:pPr>
              <w:spacing w:after="40"/>
              <w:ind w:left="340"/>
              <w:jc w:val="both"/>
            </w:pPr>
            <w:r>
              <w:rPr>
                <w:b/>
                <w:sz w:val="19"/>
              </w:rPr>
              <w:t xml:space="preserve">3.  </w:t>
            </w:r>
            <w:r>
              <w:rPr>
                <w:sz w:val="19"/>
              </w:rPr>
              <w:t>Select A1:B9.</w:t>
            </w:r>
          </w:p>
          <w:p>
            <w:pPr>
              <w:spacing w:after="40"/>
              <w:ind w:left="340"/>
              <w:jc w:val="both"/>
            </w:pPr>
            <w:r>
              <w:rPr>
                <w:b/>
                <w:sz w:val="19"/>
              </w:rPr>
              <w:t xml:space="preserve">4.  </w:t>
            </w:r>
            <w:r>
              <w:rPr>
                <w:sz w:val="19"/>
              </w:rPr>
              <w:t>Insert → Insert Column or Bar Chart → Clustered Column.</w:t>
            </w:r>
          </w:p>
          <w:p>
            <w:pPr>
              <w:spacing w:after="40"/>
              <w:ind w:left="340"/>
              <w:jc w:val="both"/>
            </w:pPr>
            <w:r>
              <w:rPr>
                <w:b/>
                <w:sz w:val="19"/>
              </w:rPr>
              <w:t xml:space="preserve">5.  </w:t>
            </w:r>
            <w:r>
              <w:rPr>
                <w:sz w:val="19"/>
              </w:rPr>
              <w:t>Excel automatically draws negative bars below the zero line — this is exactly what you want.</w:t>
            </w:r>
          </w:p>
          <w:p>
            <w:pPr>
              <w:spacing w:after="40"/>
              <w:ind w:left="340"/>
              <w:jc w:val="both"/>
            </w:pPr>
            <w:r>
              <w:rPr>
                <w:b/>
                <w:sz w:val="19"/>
              </w:rPr>
              <w:t xml:space="preserve">6.  </w:t>
            </w:r>
            <w:r>
              <w:rPr>
                <w:sz w:val="19"/>
              </w:rPr>
              <w:t>Right-click the horizontal axis → Format Axis → Labels → set Label Position to 'Low'. This moves the study names to the bottom so they do not overlap the negative bars.</w:t>
            </w:r>
          </w:p>
          <w:p>
            <w:pPr>
              <w:spacing w:after="40"/>
              <w:ind w:left="340"/>
              <w:jc w:val="both"/>
            </w:pPr>
            <w:r>
              <w:rPr>
                <w:b/>
                <w:sz w:val="19"/>
              </w:rPr>
              <w:t xml:space="preserve">7.  </w:t>
            </w:r>
            <w:r>
              <w:rPr>
                <w:sz w:val="19"/>
              </w:rPr>
              <w:t>To colour negative bars green and positive red: right-click the series → Format Data Series → Fill → tick 'Invert if negative', then choose the two colours.</w:t>
            </w:r>
          </w:p>
          <w:p>
            <w:pPr>
              <w:spacing w:after="40"/>
              <w:ind w:left="340"/>
              <w:jc w:val="both"/>
            </w:pPr>
            <w:r>
              <w:rPr>
                <w:b/>
                <w:sz w:val="19"/>
              </w:rPr>
              <w:t xml:space="preserve">8.  </w:t>
            </w:r>
            <w:r>
              <w:rPr>
                <w:sz w:val="19"/>
              </w:rPr>
              <w:t>Add the vertical axis title 'Cost versus OPC concrete (%)'.</w:t>
            </w:r>
          </w:p>
        </w:tc>
      </w:tr>
    </w:tbl>
    <w:p>
      <w:pPr>
        <w:spacing w:after="160"/>
      </w:pPr>
    </w:p>
    <w:p>
      <w:r>
        <w:br w:type="page"/>
      </w:r>
    </w:p>
    <w:p>
      <w:pPr>
        <w:pStyle w:val="Heading2"/>
      </w:pPr>
      <w:r>
        <w:t>Dataset 6 — Where the money actually goes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608"/>
            <w:shd w:val="clear" w:color="auto" w:fill="1F3B5C"/>
          </w:tcPr>
          <w:p>
            <w:pPr>
              <w:jc w:val="center"/>
            </w:pPr>
            <w:r/>
            <w:r>
              <w:rPr>
                <w:b/>
                <w:color w:val="FFFFFF"/>
                <w:sz w:val="19"/>
              </w:rPr>
              <w:t>Component</w:t>
            </w:r>
          </w:p>
        </w:tc>
        <w:tc>
          <w:tcPr>
            <w:tcW w:type="dxa" w:w="2268"/>
            <w:shd w:val="clear" w:color="auto" w:fill="1F3B5C"/>
          </w:tcPr>
          <w:p>
            <w:pPr>
              <w:jc w:val="center"/>
            </w:pPr>
            <w:r/>
            <w:r>
              <w:rPr>
                <w:b/>
                <w:color w:val="FFFFFF"/>
                <w:sz w:val="19"/>
              </w:rPr>
              <w:t>OPC concrete (%)</w:t>
            </w:r>
          </w:p>
        </w:tc>
        <w:tc>
          <w:tcPr>
            <w:tcW w:type="dxa" w:w="2494"/>
            <w:shd w:val="clear" w:color="auto" w:fill="1F3B5C"/>
          </w:tcPr>
          <w:p>
            <w:pPr>
              <w:jc w:val="center"/>
            </w:pPr>
            <w:r/>
            <w:r>
              <w:rPr>
                <w:b/>
                <w:color w:val="FFFFFF"/>
                <w:sz w:val="19"/>
              </w:rPr>
              <w:t>Geopolymer concrete (%)</w:t>
            </w:r>
          </w:p>
        </w:tc>
        <w:tc>
          <w:tcPr>
            <w:tcW w:type="dxa" w:w="1474"/>
            <w:shd w:val="clear" w:color="auto" w:fill="1F3B5C"/>
          </w:tcPr>
          <w:p>
            <w:pPr>
              <w:jc w:val="center"/>
            </w:pPr>
            <w:r/>
            <w:r>
              <w:rPr>
                <w:b/>
                <w:color w:val="FFFFFF"/>
                <w:sz w:val="19"/>
              </w:rPr>
              <w:t>Origin</w:t>
            </w:r>
          </w:p>
        </w:tc>
      </w:tr>
      <w:tr>
        <w:tc>
          <w:tcPr>
            <w:tcW w:type="dxa" w:w="2608"/>
          </w:tcPr>
          <w:p>
            <w:pPr>
              <w:spacing w:after="40"/>
            </w:pPr>
            <w:r/>
            <w:r>
              <w:rPr>
                <w:b w:val="0"/>
                <w:sz w:val="19"/>
              </w:rPr>
              <w:t>Cement</w:t>
            </w:r>
          </w:p>
        </w:tc>
        <w:tc>
          <w:tcPr>
            <w:tcW w:type="dxa" w:w="2268"/>
          </w:tcPr>
          <w:p>
            <w:pPr>
              <w:spacing w:after="40"/>
            </w:pPr>
            <w:r/>
            <w:r>
              <w:rPr>
                <w:b/>
                <w:sz w:val="19"/>
              </w:rPr>
              <w:t>51</w:t>
            </w:r>
          </w:p>
        </w:tc>
        <w:tc>
          <w:tcPr>
            <w:tcW w:type="dxa" w:w="2494"/>
          </w:tcPr>
          <w:p>
            <w:pPr>
              <w:spacing w:after="40"/>
            </w:pPr>
            <w:r/>
            <w:r>
              <w:rPr>
                <w:b w:val="0"/>
                <w:sz w:val="19"/>
              </w:rPr>
              <w:t>0</w:t>
            </w:r>
          </w:p>
        </w:tc>
        <w:tc>
          <w:tcPr>
            <w:tcW w:type="dxa" w:w="1474"/>
          </w:tcPr>
          <w:p>
            <w:pPr>
              <w:spacing w:after="40"/>
            </w:pPr>
            <w:r/>
            <w:r>
              <w:rPr>
                <w:b w:val="0"/>
                <w:sz w:val="19"/>
              </w:rPr>
              <w:t>[S]</w:t>
            </w:r>
          </w:p>
        </w:tc>
      </w:tr>
      <w:tr>
        <w:tc>
          <w:tcPr>
            <w:tcW w:type="dxa" w:w="2608"/>
          </w:tcPr>
          <w:p>
            <w:pPr>
              <w:spacing w:after="40"/>
            </w:pPr>
            <w:r/>
            <w:r>
              <w:rPr>
                <w:b w:val="0"/>
                <w:sz w:val="19"/>
              </w:rPr>
              <w:t>Alkaline activators</w:t>
            </w:r>
          </w:p>
        </w:tc>
        <w:tc>
          <w:tcPr>
            <w:tcW w:type="dxa" w:w="2268"/>
          </w:tcPr>
          <w:p>
            <w:pPr>
              <w:spacing w:after="40"/>
            </w:pPr>
            <w:r/>
            <w:r>
              <w:rPr>
                <w:b w:val="0"/>
                <w:sz w:val="19"/>
              </w:rPr>
              <w:t>0</w:t>
            </w:r>
          </w:p>
        </w:tc>
        <w:tc>
          <w:tcPr>
            <w:tcW w:type="dxa" w:w="2494"/>
          </w:tcPr>
          <w:p>
            <w:pPr>
              <w:spacing w:after="40"/>
            </w:pPr>
            <w:r/>
            <w:r>
              <w:rPr>
                <w:b/>
                <w:color w:val="B3261E"/>
                <w:sz w:val="19"/>
              </w:rPr>
              <w:t>54</w:t>
            </w:r>
          </w:p>
        </w:tc>
        <w:tc>
          <w:tcPr>
            <w:tcW w:type="dxa" w:w="1474"/>
          </w:tcPr>
          <w:p>
            <w:pPr>
              <w:spacing w:after="40"/>
            </w:pPr>
            <w:r/>
            <w:r>
              <w:rPr>
                <w:b w:val="0"/>
                <w:sz w:val="19"/>
              </w:rPr>
              <w:t>[S]</w:t>
            </w:r>
          </w:p>
        </w:tc>
      </w:tr>
      <w:tr>
        <w:tc>
          <w:tcPr>
            <w:tcW w:type="dxa" w:w="2608"/>
          </w:tcPr>
          <w:p>
            <w:pPr>
              <w:spacing w:after="40"/>
            </w:pPr>
            <w:r/>
            <w:r>
              <w:rPr>
                <w:b w:val="0"/>
                <w:sz w:val="19"/>
              </w:rPr>
              <w:t>Fly ash / GGBS binder</w:t>
            </w:r>
          </w:p>
        </w:tc>
        <w:tc>
          <w:tcPr>
            <w:tcW w:type="dxa" w:w="2268"/>
          </w:tcPr>
          <w:p>
            <w:pPr>
              <w:spacing w:after="40"/>
            </w:pPr>
            <w:r/>
            <w:r>
              <w:rPr>
                <w:b w:val="0"/>
                <w:sz w:val="19"/>
              </w:rPr>
              <w:t>0</w:t>
            </w:r>
          </w:p>
        </w:tc>
        <w:tc>
          <w:tcPr>
            <w:tcW w:type="dxa" w:w="2494"/>
          </w:tcPr>
          <w:p>
            <w:pPr>
              <w:spacing w:after="40"/>
            </w:pPr>
            <w:r/>
            <w:r>
              <w:rPr>
                <w:b w:val="0"/>
                <w:color w:val="0F7B4F"/>
                <w:sz w:val="19"/>
              </w:rPr>
              <w:t>6</w:t>
            </w:r>
          </w:p>
        </w:tc>
        <w:tc>
          <w:tcPr>
            <w:tcW w:type="dxa" w:w="1474"/>
          </w:tcPr>
          <w:p>
            <w:pPr>
              <w:spacing w:after="40"/>
            </w:pPr>
            <w:r/>
            <w:r>
              <w:rPr>
                <w:b w:val="0"/>
                <w:sz w:val="19"/>
              </w:rPr>
              <w:t>[S]</w:t>
            </w:r>
          </w:p>
        </w:tc>
      </w:tr>
      <w:tr>
        <w:tc>
          <w:tcPr>
            <w:tcW w:type="dxa" w:w="2608"/>
          </w:tcPr>
          <w:p>
            <w:pPr>
              <w:spacing w:after="40"/>
            </w:pPr>
            <w:r/>
            <w:r>
              <w:rPr>
                <w:b w:val="0"/>
                <w:sz w:val="19"/>
              </w:rPr>
              <w:t>Coarse aggregate</w:t>
            </w:r>
          </w:p>
        </w:tc>
        <w:tc>
          <w:tcPr>
            <w:tcW w:type="dxa" w:w="2268"/>
          </w:tcPr>
          <w:p>
            <w:pPr>
              <w:spacing w:after="40"/>
            </w:pPr>
            <w:r/>
            <w:r>
              <w:rPr>
                <w:b w:val="0"/>
                <w:sz w:val="19"/>
              </w:rPr>
              <w:t>24</w:t>
            </w:r>
          </w:p>
        </w:tc>
        <w:tc>
          <w:tcPr>
            <w:tcW w:type="dxa" w:w="2494"/>
          </w:tcPr>
          <w:p>
            <w:pPr>
              <w:spacing w:after="40"/>
            </w:pPr>
            <w:r/>
            <w:r>
              <w:rPr>
                <w:b w:val="0"/>
                <w:sz w:val="19"/>
              </w:rPr>
              <w:t>22</w:t>
            </w:r>
          </w:p>
        </w:tc>
        <w:tc>
          <w:tcPr>
            <w:tcW w:type="dxa" w:w="1474"/>
          </w:tcPr>
          <w:p>
            <w:pPr>
              <w:spacing w:after="40"/>
            </w:pPr>
            <w:r/>
            <w:r>
              <w:rPr>
                <w:b w:val="0"/>
                <w:sz w:val="19"/>
              </w:rPr>
              <w:t>[I]</w:t>
            </w:r>
          </w:p>
        </w:tc>
      </w:tr>
      <w:tr>
        <w:tc>
          <w:tcPr>
            <w:tcW w:type="dxa" w:w="2608"/>
          </w:tcPr>
          <w:p>
            <w:pPr>
              <w:spacing w:after="40"/>
            </w:pPr>
            <w:r/>
            <w:r>
              <w:rPr>
                <w:b w:val="0"/>
                <w:sz w:val="19"/>
              </w:rPr>
              <w:t>Fine aggregate / sand</w:t>
            </w:r>
          </w:p>
        </w:tc>
        <w:tc>
          <w:tcPr>
            <w:tcW w:type="dxa" w:w="2268"/>
          </w:tcPr>
          <w:p>
            <w:pPr>
              <w:spacing w:after="40"/>
            </w:pPr>
            <w:r/>
            <w:r>
              <w:rPr>
                <w:b w:val="0"/>
                <w:sz w:val="19"/>
              </w:rPr>
              <w:t>18</w:t>
            </w:r>
          </w:p>
        </w:tc>
        <w:tc>
          <w:tcPr>
            <w:tcW w:type="dxa" w:w="2494"/>
          </w:tcPr>
          <w:p>
            <w:pPr>
              <w:spacing w:after="40"/>
            </w:pPr>
            <w:r/>
            <w:r>
              <w:rPr>
                <w:b w:val="0"/>
                <w:sz w:val="19"/>
              </w:rPr>
              <w:t>18</w:t>
            </w:r>
          </w:p>
        </w:tc>
        <w:tc>
          <w:tcPr>
            <w:tcW w:type="dxa" w:w="1474"/>
          </w:tcPr>
          <w:p>
            <w:pPr>
              <w:spacing w:after="40"/>
            </w:pPr>
            <w:r/>
            <w:r>
              <w:rPr>
                <w:b w:val="0"/>
                <w:sz w:val="19"/>
              </w:rPr>
              <w:t>[I]</w:t>
            </w:r>
          </w:p>
        </w:tc>
      </w:tr>
      <w:tr>
        <w:tc>
          <w:tcPr>
            <w:tcW w:type="dxa" w:w="2608"/>
          </w:tcPr>
          <w:p>
            <w:pPr>
              <w:spacing w:after="40"/>
            </w:pPr>
            <w:r/>
            <w:r>
              <w:rPr>
                <w:b w:val="0"/>
                <w:sz w:val="19"/>
              </w:rPr>
              <w:t>Admixtures and other</w:t>
            </w:r>
          </w:p>
        </w:tc>
        <w:tc>
          <w:tcPr>
            <w:tcW w:type="dxa" w:w="2268"/>
          </w:tcPr>
          <w:p>
            <w:pPr>
              <w:spacing w:after="40"/>
            </w:pPr>
            <w:r/>
            <w:r>
              <w:rPr>
                <w:b w:val="0"/>
                <w:sz w:val="19"/>
              </w:rPr>
              <w:t>7</w:t>
            </w:r>
          </w:p>
        </w:tc>
        <w:tc>
          <w:tcPr>
            <w:tcW w:type="dxa" w:w="2494"/>
          </w:tcPr>
          <w:p>
            <w:pPr>
              <w:spacing w:after="40"/>
            </w:pPr>
            <w:r/>
            <w:r>
              <w:rPr>
                <w:b w:val="0"/>
                <w:sz w:val="19"/>
              </w:rPr>
              <w:t>0</w:t>
            </w:r>
          </w:p>
        </w:tc>
        <w:tc>
          <w:tcPr>
            <w:tcW w:type="dxa" w:w="1474"/>
          </w:tcPr>
          <w:p>
            <w:pPr>
              <w:spacing w:after="40"/>
            </w:pPr>
            <w:r/>
            <w:r>
              <w:rPr>
                <w:b w:val="0"/>
                <w:sz w:val="19"/>
              </w:rPr>
              <w:t>[I]</w:t>
            </w:r>
          </w:p>
        </w:tc>
      </w:tr>
      <w:tr>
        <w:tc>
          <w:tcPr>
            <w:tcW w:type="dxa" w:w="2608"/>
          </w:tcPr>
          <w:p>
            <w:pPr>
              <w:spacing w:after="40"/>
            </w:pPr>
            <w:r/>
            <w:r>
              <w:rPr>
                <w:b/>
                <w:sz w:val="19"/>
              </w:rPr>
              <w:t>Total</w:t>
            </w:r>
          </w:p>
        </w:tc>
        <w:tc>
          <w:tcPr>
            <w:tcW w:type="dxa" w:w="2268"/>
          </w:tcPr>
          <w:p>
            <w:pPr>
              <w:spacing w:after="40"/>
            </w:pPr>
            <w:r/>
            <w:r>
              <w:rPr>
                <w:b/>
                <w:sz w:val="19"/>
              </w:rPr>
              <w:t>100</w:t>
            </w:r>
          </w:p>
        </w:tc>
        <w:tc>
          <w:tcPr>
            <w:tcW w:type="dxa" w:w="2494"/>
          </w:tcPr>
          <w:p>
            <w:pPr>
              <w:spacing w:after="40"/>
            </w:pPr>
            <w:r/>
            <w:r>
              <w:rPr>
                <w:b/>
                <w:sz w:val="19"/>
              </w:rPr>
              <w:t>100</w:t>
            </w:r>
          </w:p>
        </w:tc>
        <w:tc>
          <w:tcPr>
            <w:tcW w:type="dxa" w:w="1474"/>
          </w:tcPr>
          <w:p>
            <w:pPr>
              <w:spacing w:after="40"/>
            </w:pPr>
            <w:r/>
            <w:r>
              <w:rPr>
                <w:b w:val="0"/>
                <w:sz w:val="19"/>
              </w:rPr>
              <w:t>—</w:t>
            </w:r>
          </w:p>
        </w:tc>
      </w:tr>
    </w:tbl>
    <w:p>
      <w:pPr>
        <w:spacing w:after="60"/>
      </w:pPr>
    </w:p>
    <w:p>
      <w:pPr>
        <w:jc w:val="center"/>
      </w:pPr>
      <w:r>
        <w:drawing>
          <wp:inline xmlns:a="http://schemas.openxmlformats.org/drawingml/2006/main" xmlns:pic="http://schemas.openxmlformats.org/drawingml/2006/picture">
            <wp:extent cx="5580000" cy="2785439"/>
            <wp:docPr id="6" name="Picture 6"/>
            <wp:cNvGraphicFramePr>
              <a:graphicFrameLocks noChangeAspect="1"/>
            </wp:cNvGraphicFramePr>
            <a:graphic>
              <a:graphicData uri="http://schemas.openxmlformats.org/drawingml/2006/picture">
                <pic:pic>
                  <pic:nvPicPr>
                    <pic:cNvPr id="0" name="fig7_cost_split.png"/>
                    <pic:cNvPicPr/>
                  </pic:nvPicPr>
                  <pic:blipFill>
                    <a:blip r:embed="rId14"/>
                    <a:stretch>
                      <a:fillRect/>
                    </a:stretch>
                  </pic:blipFill>
                  <pic:spPr>
                    <a:xfrm>
                      <a:off x="0" y="0"/>
                      <a:ext cx="5580000" cy="2785439"/>
                    </a:xfrm>
                    <a:prstGeom prst="rect"/>
                  </pic:spPr>
                </pic:pic>
              </a:graphicData>
            </a:graphic>
          </wp:inline>
        </w:drawing>
      </w:r>
    </w:p>
    <w:p>
      <w:pPr>
        <w:spacing w:after="200"/>
        <w:jc w:val="center"/>
      </w:pPr>
      <w:r>
        <w:rPr>
          <w:i/>
          <w:color w:val="5D6B7A"/>
          <w:sz w:val="17"/>
        </w:rPr>
        <w:t>Figure 6 — Cost composition of OPC and geopolymer concrete. The 51% and 54% figures are as published; the remaining splits are indicative.</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Why this single table explains everything</w:t>
            </w:r>
          </w:p>
          <w:p>
            <w:pPr>
              <w:jc w:val="both"/>
            </w:pPr>
            <w:r>
              <w:rPr>
                <w:sz w:val="20"/>
              </w:rPr>
              <w:t>In OPC concrete, cement is about half the cost. In geopolymer concrete, the activator is about half the cost. The binder — fly ash or slag — is almost free because it is an industrial by-product. So switching to geopolymer does not remove the cost; it MOVES the cost from cement to chemicals. And chemicals must be transported, which is why the answer depends entirely on where you are.</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6 (two Pie charts side by side)</w:t>
            </w:r>
          </w:p>
          <w:p>
            <w:pPr>
              <w:spacing w:after="40"/>
              <w:ind w:left="340"/>
              <w:jc w:val="both"/>
            </w:pPr>
            <w:r>
              <w:rPr>
                <w:b/>
                <w:sz w:val="19"/>
              </w:rPr>
              <w:t xml:space="preserve">1.  </w:t>
            </w:r>
            <w:r>
              <w:rPr>
                <w:sz w:val="19"/>
              </w:rPr>
              <w:t>Enter the component names in A2:A7, OPC percentages in B2:B7, geopolymer percentages in C2:C7.</w:t>
            </w:r>
          </w:p>
          <w:p>
            <w:pPr>
              <w:spacing w:after="40"/>
              <w:ind w:left="340"/>
              <w:jc w:val="both"/>
            </w:pPr>
            <w:r>
              <w:rPr>
                <w:b/>
                <w:sz w:val="19"/>
              </w:rPr>
              <w:t xml:space="preserve">2.  </w:t>
            </w:r>
            <w:r>
              <w:rPr>
                <w:sz w:val="19"/>
              </w:rPr>
              <w:t>For the first pie: select A2:B7 → Insert → Pie. Rows with zero simply do not appear as slices.</w:t>
            </w:r>
          </w:p>
          <w:p>
            <w:pPr>
              <w:spacing w:after="40"/>
              <w:ind w:left="340"/>
              <w:jc w:val="both"/>
            </w:pPr>
            <w:r>
              <w:rPr>
                <w:b/>
                <w:sz w:val="19"/>
              </w:rPr>
              <w:t xml:space="preserve">3.  </w:t>
            </w:r>
            <w:r>
              <w:rPr>
                <w:sz w:val="19"/>
              </w:rPr>
              <w:t>For the second pie: select A2:A7, then hold Ctrl and additionally select C2:C7. This selects two non-adjacent columns. Then Insert → Pie.</w:t>
            </w:r>
          </w:p>
          <w:p>
            <w:pPr>
              <w:spacing w:after="40"/>
              <w:ind w:left="340"/>
              <w:jc w:val="both"/>
            </w:pPr>
            <w:r>
              <w:rPr>
                <w:b/>
                <w:sz w:val="19"/>
              </w:rPr>
              <w:t xml:space="preserve">4.  </w:t>
            </w:r>
            <w:r>
              <w:rPr>
                <w:sz w:val="19"/>
              </w:rPr>
              <w:t>Give each chart a title: 'OPC concrete' and 'Geopolymer concrete'.</w:t>
            </w:r>
          </w:p>
          <w:p>
            <w:pPr>
              <w:spacing w:after="40"/>
              <w:ind w:left="340"/>
              <w:jc w:val="both"/>
            </w:pPr>
            <w:r>
              <w:rPr>
                <w:b/>
                <w:sz w:val="19"/>
              </w:rPr>
              <w:t xml:space="preserve">5.  </w:t>
            </w:r>
            <w:r>
              <w:rPr>
                <w:sz w:val="19"/>
              </w:rPr>
              <w:t>Click + → Data Labels → More Options → tick Category Name and Percentage.</w:t>
            </w:r>
          </w:p>
          <w:p>
            <w:pPr>
              <w:spacing w:after="40"/>
              <w:ind w:left="340"/>
              <w:jc w:val="both"/>
            </w:pPr>
            <w:r>
              <w:rPr>
                <w:b/>
                <w:sz w:val="19"/>
              </w:rPr>
              <w:t xml:space="preserve">6.  </w:t>
            </w:r>
            <w:r>
              <w:rPr>
                <w:sz w:val="19"/>
              </w:rPr>
              <w:t>Colour the cement slice and the activator slice in strong contrasting colours so the reader immediately sees the cost has moved, not disappeared.</w:t>
            </w:r>
          </w:p>
          <w:p>
            <w:pPr>
              <w:spacing w:after="40"/>
              <w:ind w:left="340"/>
              <w:jc w:val="both"/>
            </w:pPr>
            <w:r>
              <w:rPr>
                <w:b/>
                <w:sz w:val="19"/>
              </w:rPr>
              <w:t xml:space="preserve">7.  </w:t>
            </w:r>
            <w:r>
              <w:rPr>
                <w:sz w:val="19"/>
              </w:rPr>
              <w:t>Drag the two charts so they sit side by side, then select both (click one, Ctrl+click the other) and use Format → Align to line them up.</w:t>
            </w:r>
          </w:p>
        </w:tc>
      </w:tr>
    </w:tbl>
    <w:p>
      <w:pPr>
        <w:spacing w:after="160"/>
      </w:pPr>
    </w:p>
    <w:p>
      <w:r>
        <w:br w:type="page"/>
      </w:r>
    </w:p>
    <w:p>
      <w:pPr>
        <w:pStyle w:val="Heading2"/>
      </w:pPr>
      <w:r>
        <w:t>Dataset 7 — The fly ash supply problem</w:t>
      </w:r>
    </w:p>
    <w:p>
      <w:pPr>
        <w:jc w:val="both"/>
      </w:pPr>
      <w:r>
        <w:rPr>
          <w:b w:val="0"/>
          <w:i w:val="0"/>
        </w:rPr>
        <w:t>Project C4 encodes materials by their chemistry rather than by name. This table explains why that decision matters.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608"/>
            <w:shd w:val="clear" w:color="auto" w:fill="1F3B5C"/>
          </w:tcPr>
          <w:p>
            <w:pPr>
              <w:jc w:val="center"/>
            </w:pPr>
            <w:r/>
            <w:r>
              <w:rPr>
                <w:b/>
                <w:color w:val="FFFFFF"/>
                <w:sz w:val="18"/>
              </w:rPr>
              <w:t>Finding</w:t>
            </w:r>
          </w:p>
        </w:tc>
        <w:tc>
          <w:tcPr>
            <w:tcW w:type="dxa" w:w="1587"/>
            <w:shd w:val="clear" w:color="auto" w:fill="1F3B5C"/>
          </w:tcPr>
          <w:p>
            <w:pPr>
              <w:jc w:val="center"/>
            </w:pPr>
            <w:r/>
            <w:r>
              <w:rPr>
                <w:b/>
                <w:color w:val="FFFFFF"/>
                <w:sz w:val="18"/>
              </w:rPr>
              <w:t>Value</w:t>
            </w:r>
          </w:p>
        </w:tc>
        <w:tc>
          <w:tcPr>
            <w:tcW w:type="dxa" w:w="3402"/>
            <w:shd w:val="clear" w:color="auto" w:fill="1F3B5C"/>
          </w:tcPr>
          <w:p>
            <w:pPr>
              <w:jc w:val="center"/>
            </w:pPr>
            <w:r/>
            <w:r>
              <w:rPr>
                <w:b/>
                <w:color w:val="FFFFFF"/>
                <w:sz w:val="18"/>
              </w:rPr>
              <w:t>Implication</w:t>
            </w:r>
          </w:p>
        </w:tc>
        <w:tc>
          <w:tcPr>
            <w:tcW w:type="dxa" w:w="1247"/>
            <w:shd w:val="clear" w:color="auto" w:fill="1F3B5C"/>
          </w:tcPr>
          <w:p>
            <w:pPr>
              <w:jc w:val="center"/>
            </w:pPr>
            <w:r/>
            <w:r>
              <w:rPr>
                <w:b/>
                <w:color w:val="FFFFFF"/>
                <w:sz w:val="18"/>
              </w:rPr>
              <w:t>Origin</w:t>
            </w:r>
          </w:p>
        </w:tc>
      </w:tr>
      <w:tr>
        <w:tc>
          <w:tcPr>
            <w:tcW w:type="dxa" w:w="2608"/>
          </w:tcPr>
          <w:p>
            <w:pPr>
              <w:spacing w:after="40"/>
            </w:pPr>
            <w:r/>
            <w:r>
              <w:rPr>
                <w:b w:val="0"/>
                <w:sz w:val="18"/>
              </w:rPr>
              <w:t>India's fly ash utilisation rate</w:t>
            </w:r>
          </w:p>
        </w:tc>
        <w:tc>
          <w:tcPr>
            <w:tcW w:type="dxa" w:w="1587"/>
          </w:tcPr>
          <w:p>
            <w:pPr>
              <w:spacing w:after="40"/>
            </w:pPr>
            <w:r/>
            <w:r>
              <w:rPr>
                <w:b/>
                <w:color w:val="B8860B"/>
                <w:sz w:val="18"/>
              </w:rPr>
              <w:t>96%</w:t>
            </w:r>
          </w:p>
        </w:tc>
        <w:tc>
          <w:tcPr>
            <w:tcW w:type="dxa" w:w="3402"/>
          </w:tcPr>
          <w:p>
            <w:pPr>
              <w:spacing w:after="40"/>
            </w:pPr>
            <w:r/>
            <w:r>
              <w:rPr>
                <w:b w:val="0"/>
                <w:sz w:val="18"/>
              </w:rPr>
              <w:t>Almost no surplus remains on the open market</w:t>
            </w:r>
          </w:p>
        </w:tc>
        <w:tc>
          <w:tcPr>
            <w:tcW w:type="dxa" w:w="1247"/>
          </w:tcPr>
          <w:p>
            <w:pPr>
              <w:spacing w:after="40"/>
            </w:pPr>
            <w:r/>
            <w:r>
              <w:rPr>
                <w:b w:val="0"/>
                <w:sz w:val="18"/>
              </w:rPr>
              <w:t>[S]</w:t>
            </w:r>
          </w:p>
        </w:tc>
      </w:tr>
      <w:tr>
        <w:tc>
          <w:tcPr>
            <w:tcW w:type="dxa" w:w="2608"/>
          </w:tcPr>
          <w:p>
            <w:pPr>
              <w:spacing w:after="40"/>
            </w:pPr>
            <w:r/>
            <w:r>
              <w:rPr>
                <w:b w:val="0"/>
                <w:sz w:val="18"/>
              </w:rPr>
              <w:t>Fly ash price trend, Q1 2026</w:t>
            </w:r>
          </w:p>
        </w:tc>
        <w:tc>
          <w:tcPr>
            <w:tcW w:type="dxa" w:w="1587"/>
          </w:tcPr>
          <w:p>
            <w:pPr>
              <w:spacing w:after="40"/>
            </w:pPr>
            <w:r/>
            <w:r>
              <w:rPr>
                <w:b w:val="0"/>
                <w:sz w:val="18"/>
              </w:rPr>
              <w:t>Rising</w:t>
            </w:r>
          </w:p>
        </w:tc>
        <w:tc>
          <w:tcPr>
            <w:tcW w:type="dxa" w:w="3402"/>
          </w:tcPr>
          <w:p>
            <w:pPr>
              <w:spacing w:after="40"/>
            </w:pPr>
            <w:r/>
            <w:r>
              <w:rPr>
                <w:b w:val="0"/>
                <w:sz w:val="18"/>
              </w:rPr>
              <w:t>Driven by constrained supply, not by demand growth</w:t>
            </w:r>
          </w:p>
        </w:tc>
        <w:tc>
          <w:tcPr>
            <w:tcW w:type="dxa" w:w="1247"/>
          </w:tcPr>
          <w:p>
            <w:pPr>
              <w:spacing w:after="40"/>
            </w:pPr>
            <w:r/>
            <w:r>
              <w:rPr>
                <w:b w:val="0"/>
                <w:sz w:val="18"/>
              </w:rPr>
              <w:t>[S]</w:t>
            </w:r>
          </w:p>
        </w:tc>
      </w:tr>
      <w:tr>
        <w:tc>
          <w:tcPr>
            <w:tcW w:type="dxa" w:w="2608"/>
          </w:tcPr>
          <w:p>
            <w:pPr>
              <w:spacing w:after="40"/>
            </w:pPr>
            <w:r/>
            <w:r>
              <w:rPr>
                <w:b w:val="0"/>
                <w:sz w:val="18"/>
              </w:rPr>
              <w:t>EU15 thermal coal imports, 2026</w:t>
            </w:r>
          </w:p>
        </w:tc>
        <w:tc>
          <w:tcPr>
            <w:tcW w:type="dxa" w:w="1587"/>
          </w:tcPr>
          <w:p>
            <w:pPr>
              <w:spacing w:after="40"/>
            </w:pPr>
            <w:r/>
            <w:r>
              <w:rPr>
                <w:b w:val="0"/>
                <w:color w:val="B3261E"/>
                <w:sz w:val="18"/>
              </w:rPr>
              <w:t>−15 to −20%</w:t>
            </w:r>
          </w:p>
        </w:tc>
        <w:tc>
          <w:tcPr>
            <w:tcW w:type="dxa" w:w="3402"/>
          </w:tcPr>
          <w:p>
            <w:pPr>
              <w:spacing w:after="40"/>
            </w:pPr>
            <w:r/>
            <w:r>
              <w:rPr>
                <w:b w:val="0"/>
                <w:sz w:val="18"/>
              </w:rPr>
              <w:t>Less coal burnt means less fly ash produced</w:t>
            </w:r>
          </w:p>
        </w:tc>
        <w:tc>
          <w:tcPr>
            <w:tcW w:type="dxa" w:w="1247"/>
          </w:tcPr>
          <w:p>
            <w:pPr>
              <w:spacing w:after="40"/>
            </w:pPr>
            <w:r/>
            <w:r>
              <w:rPr>
                <w:b w:val="0"/>
                <w:sz w:val="18"/>
              </w:rPr>
              <w:t>[S]</w:t>
            </w:r>
          </w:p>
        </w:tc>
      </w:tr>
      <w:tr>
        <w:tc>
          <w:tcPr>
            <w:tcW w:type="dxa" w:w="2608"/>
          </w:tcPr>
          <w:p>
            <w:pPr>
              <w:spacing w:after="40"/>
            </w:pPr>
            <w:r/>
            <w:r>
              <w:rPr>
                <w:b w:val="0"/>
                <w:sz w:val="18"/>
              </w:rPr>
              <w:t>Coal generation, India and China</w:t>
            </w:r>
          </w:p>
        </w:tc>
        <w:tc>
          <w:tcPr>
            <w:tcW w:type="dxa" w:w="1587"/>
          </w:tcPr>
          <w:p>
            <w:pPr>
              <w:spacing w:after="40"/>
            </w:pPr>
            <w:r/>
            <w:r>
              <w:rPr>
                <w:b w:val="0"/>
                <w:sz w:val="18"/>
              </w:rPr>
              <w:t>Declining</w:t>
            </w:r>
          </w:p>
        </w:tc>
        <w:tc>
          <w:tcPr>
            <w:tcW w:type="dxa" w:w="3402"/>
          </w:tcPr>
          <w:p>
            <w:pPr>
              <w:spacing w:after="40"/>
            </w:pPr>
            <w:r/>
            <w:r>
              <w:rPr>
                <w:b w:val="0"/>
                <w:sz w:val="18"/>
              </w:rPr>
              <w:t>The feedstock is shrinking as decarbonisation proceeds</w:t>
            </w:r>
          </w:p>
        </w:tc>
        <w:tc>
          <w:tcPr>
            <w:tcW w:type="dxa" w:w="1247"/>
          </w:tcPr>
          <w:p>
            <w:pPr>
              <w:spacing w:after="40"/>
            </w:pPr>
            <w:r/>
            <w:r>
              <w:rPr>
                <w:b w:val="0"/>
                <w:sz w:val="18"/>
              </w:rPr>
              <w:t>[S]</w:t>
            </w:r>
          </w:p>
        </w:tc>
      </w:tr>
      <w:tr>
        <w:tc>
          <w:tcPr>
            <w:tcW w:type="dxa" w:w="2608"/>
          </w:tcPr>
          <w:p>
            <w:pPr>
              <w:spacing w:after="40"/>
            </w:pPr>
            <w:r/>
            <w:r>
              <w:rPr>
                <w:b w:val="0"/>
                <w:sz w:val="18"/>
              </w:rPr>
              <w:t>Finland's last coal plant</w:t>
            </w:r>
          </w:p>
        </w:tc>
        <w:tc>
          <w:tcPr>
            <w:tcW w:type="dxa" w:w="1587"/>
          </w:tcPr>
          <w:p>
            <w:pPr>
              <w:spacing w:after="40"/>
            </w:pPr>
            <w:r/>
            <w:r>
              <w:rPr>
                <w:b w:val="0"/>
                <w:sz w:val="18"/>
              </w:rPr>
              <w:t>Closed April 2025</w:t>
            </w:r>
          </w:p>
        </w:tc>
        <w:tc>
          <w:tcPr>
            <w:tcW w:type="dxa" w:w="3402"/>
          </w:tcPr>
          <w:p>
            <w:pPr>
              <w:spacing w:after="40"/>
            </w:pPr>
            <w:r/>
            <w:r>
              <w:rPr>
                <w:b w:val="0"/>
                <w:sz w:val="18"/>
              </w:rPr>
              <w:t>The trend is structural and irreversible</w:t>
            </w:r>
          </w:p>
        </w:tc>
        <w:tc>
          <w:tcPr>
            <w:tcW w:type="dxa" w:w="1247"/>
          </w:tcPr>
          <w:p>
            <w:pPr>
              <w:spacing w:after="40"/>
            </w:pPr>
            <w:r/>
            <w:r>
              <w:rPr>
                <w:b w:val="0"/>
                <w:sz w:val="18"/>
              </w:rPr>
              <w:t>[S]</w:t>
            </w:r>
          </w:p>
        </w:tc>
      </w:tr>
      <w:tr>
        <w:tc>
          <w:tcPr>
            <w:tcW w:type="dxa" w:w="2608"/>
          </w:tcPr>
          <w:p>
            <w:pPr>
              <w:spacing w:after="40"/>
            </w:pPr>
            <w:r/>
            <w:r>
              <w:rPr>
                <w:b w:val="0"/>
                <w:sz w:val="18"/>
              </w:rPr>
              <w:t>Indian TPP utilisation mandate</w:t>
            </w:r>
          </w:p>
        </w:tc>
        <w:tc>
          <w:tcPr>
            <w:tcW w:type="dxa" w:w="1587"/>
          </w:tcPr>
          <w:p>
            <w:pPr>
              <w:spacing w:after="40"/>
            </w:pPr>
            <w:r/>
            <w:r>
              <w:rPr>
                <w:b w:val="0"/>
                <w:sz w:val="18"/>
              </w:rPr>
              <w:t>100%, ₹1,000/t penalty</w:t>
            </w:r>
          </w:p>
        </w:tc>
        <w:tc>
          <w:tcPr>
            <w:tcW w:type="dxa" w:w="3402"/>
          </w:tcPr>
          <w:p>
            <w:pPr>
              <w:spacing w:after="40"/>
            </w:pPr>
            <w:r/>
            <w:r>
              <w:rPr>
                <w:b w:val="0"/>
                <w:sz w:val="18"/>
              </w:rPr>
              <w:t>Legal pressure removes the remaining surplus</w:t>
            </w:r>
          </w:p>
        </w:tc>
        <w:tc>
          <w:tcPr>
            <w:tcW w:type="dxa" w:w="1247"/>
          </w:tcPr>
          <w:p>
            <w:pPr>
              <w:spacing w:after="40"/>
            </w:pPr>
            <w:r/>
            <w:r>
              <w:rPr>
                <w:b w:val="0"/>
                <w:sz w:val="18"/>
              </w:rPr>
              <w:t>[S]</w:t>
            </w:r>
          </w:p>
        </w:tc>
      </w:tr>
    </w:tbl>
    <w:p>
      <w:pPr>
        <w:spacing w:after="60"/>
      </w:pPr>
    </w:p>
    <w:tbl>
      <w:tblPr>
        <w:tblStyle w:val="TableGrid"/>
        <w:tblW w:type="auto" w:w="0"/>
        <w:tblLook w:firstColumn="1" w:firstRow="1" w:lastColumn="0" w:lastRow="0" w:noHBand="0" w:noVBand="1" w:val="04A0"/>
      </w:tblPr>
      <w:tblGrid>
        <w:gridCol w:w="9355"/>
      </w:tblGrid>
      <w:tr>
        <w:tc>
          <w:tcPr>
            <w:tcW w:type="dxa" w:w="9071"/>
            <w:shd w:val="clear" w:color="auto" w:fill="FFF8E1"/>
          </w:tcPr>
          <w:p>
            <w:pPr>
              <w:spacing w:after="60"/>
            </w:pPr>
            <w:r/>
            <w:r>
              <w:rPr>
                <w:b/>
                <w:color w:val="B8860B"/>
                <w:sz w:val="21"/>
              </w:rPr>
              <w:t>The strategic insight for your project</w:t>
            </w:r>
          </w:p>
          <w:p>
            <w:pPr>
              <w:jc w:val="both"/>
            </w:pPr>
            <w:r>
              <w:rPr>
                <w:sz w:val="20"/>
              </w:rPr>
              <w:t>The decarbonisation wave that makes low-carbon concrete attractive is the same wave destroying its main ingredient. Coal plants make fly ash; closing them removes it. Any tool built around 'fly ash' as a named material will be obsolete within a decade. Project C4 therefore encodes the binder as a CHEMISTRY VECTOR — SiO₂, Al₂O₃, CaO, reactive fraction, fineness — so it works for rice husk ash, calcined clay, red mud, steel slag and materials not yet in use. This single design decision is what makes the work last.</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7 (no chart needed — but if you want one)</w:t>
            </w:r>
          </w:p>
          <w:p>
            <w:pPr>
              <w:spacing w:after="40"/>
              <w:ind w:left="340"/>
              <w:jc w:val="both"/>
            </w:pPr>
            <w:r>
              <w:rPr>
                <w:b/>
                <w:sz w:val="19"/>
              </w:rPr>
              <w:t xml:space="preserve">1.  </w:t>
            </w:r>
            <w:r>
              <w:rPr>
                <w:sz w:val="19"/>
              </w:rPr>
              <w:t>This table is best presented as a table. Not every dataset needs a chart, and forcing one here would add nothing.</w:t>
            </w:r>
          </w:p>
          <w:p>
            <w:pPr>
              <w:spacing w:after="40"/>
              <w:ind w:left="340"/>
              <w:jc w:val="both"/>
            </w:pPr>
            <w:r>
              <w:rPr>
                <w:b/>
                <w:sz w:val="19"/>
              </w:rPr>
              <w:t xml:space="preserve">2.  </w:t>
            </w:r>
            <w:r>
              <w:rPr>
                <w:sz w:val="19"/>
              </w:rPr>
              <w:t>If a visual is required for a presentation: create a simple two-column table with 'Fly ash available' at 96% used and 4% surplus, and draw a Doughnut chart to dramatise how little remains.</w:t>
            </w:r>
          </w:p>
          <w:p>
            <w:pPr>
              <w:spacing w:after="40"/>
              <w:ind w:left="340"/>
              <w:jc w:val="both"/>
            </w:pPr>
            <w:r>
              <w:rPr>
                <w:b/>
                <w:sz w:val="19"/>
              </w:rPr>
              <w:t xml:space="preserve">3.  </w:t>
            </w:r>
            <w:r>
              <w:rPr>
                <w:sz w:val="19"/>
              </w:rPr>
              <w:t>Select the two values → Insert → Insert Pie or Doughnut Chart → Doughnut.</w:t>
            </w:r>
          </w:p>
          <w:p>
            <w:pPr>
              <w:spacing w:after="40"/>
              <w:ind w:left="340"/>
              <w:jc w:val="both"/>
            </w:pPr>
            <w:r>
              <w:rPr>
                <w:b/>
                <w:sz w:val="19"/>
              </w:rPr>
              <w:t xml:space="preserve">4.  </w:t>
            </w:r>
            <w:r>
              <w:rPr>
                <w:sz w:val="19"/>
              </w:rPr>
              <w:t>Colour the 96% grey and the 4% red, then add a large text box in the centre reading '4% surplus'.</w:t>
            </w:r>
          </w:p>
        </w:tc>
      </w:tr>
    </w:tbl>
    <w:p>
      <w:pPr>
        <w:spacing w:after="160"/>
      </w:pPr>
    </w:p>
    <w:p>
      <w:r>
        <w:br w:type="page"/>
      </w:r>
    </w:p>
    <w:p>
      <w:pPr>
        <w:pStyle w:val="Heading1"/>
      </w:pPr>
      <w:r>
        <w:t>PART D — PROJECT C5: WORKABILITY FROM VIDEO</w:t>
      </w:r>
    </w:p>
    <w:p>
      <w:pPr>
        <w:pStyle w:val="Heading2"/>
      </w:pPr>
      <w:r>
        <w:t>Dataset 8 — Slump loss during transit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494"/>
            <w:shd w:val="clear" w:color="auto" w:fill="1F3B5C"/>
          </w:tcPr>
          <w:p>
            <w:pPr>
              <w:jc w:val="center"/>
            </w:pPr>
            <w:r/>
            <w:r>
              <w:rPr>
                <w:b/>
                <w:color w:val="FFFFFF"/>
                <w:sz w:val="19"/>
              </w:rPr>
              <w:t>Time after batching (min)</w:t>
            </w:r>
          </w:p>
        </w:tc>
        <w:tc>
          <w:tcPr>
            <w:tcW w:type="dxa" w:w="2268"/>
            <w:shd w:val="clear" w:color="auto" w:fill="1F3B5C"/>
          </w:tcPr>
          <w:p>
            <w:pPr>
              <w:jc w:val="center"/>
            </w:pPr>
            <w:r/>
            <w:r>
              <w:rPr>
                <w:b/>
                <w:color w:val="FFFFFF"/>
                <w:sz w:val="19"/>
              </w:rPr>
              <w:t>Slump at 25 °C (mm)</w:t>
            </w:r>
          </w:p>
        </w:tc>
        <w:tc>
          <w:tcPr>
            <w:tcW w:type="dxa" w:w="2268"/>
            <w:shd w:val="clear" w:color="auto" w:fill="1F3B5C"/>
          </w:tcPr>
          <w:p>
            <w:pPr>
              <w:jc w:val="center"/>
            </w:pPr>
            <w:r/>
            <w:r>
              <w:rPr>
                <w:b/>
                <w:color w:val="FFFFFF"/>
                <w:sz w:val="19"/>
              </w:rPr>
              <w:t>Slump at 40 °C (mm)</w:t>
            </w:r>
          </w:p>
        </w:tc>
        <w:tc>
          <w:tcPr>
            <w:tcW w:type="dxa" w:w="1814"/>
            <w:shd w:val="clear" w:color="auto" w:fill="1F3B5C"/>
          </w:tcPr>
          <w:p>
            <w:pPr>
              <w:jc w:val="center"/>
            </w:pPr>
            <w:r/>
            <w:r>
              <w:rPr>
                <w:b/>
                <w:color w:val="FFFFFF"/>
                <w:sz w:val="19"/>
              </w:rPr>
              <w:t>Origin</w:t>
            </w:r>
          </w:p>
        </w:tc>
      </w:tr>
      <w:tr>
        <w:tc>
          <w:tcPr>
            <w:tcW w:type="dxa" w:w="2494"/>
          </w:tcPr>
          <w:p>
            <w:pPr>
              <w:spacing w:after="40"/>
            </w:pPr>
            <w:r/>
            <w:r>
              <w:rPr>
                <w:b w:val="0"/>
                <w:sz w:val="19"/>
              </w:rPr>
              <w:t>0</w:t>
            </w:r>
          </w:p>
        </w:tc>
        <w:tc>
          <w:tcPr>
            <w:tcW w:type="dxa" w:w="2268"/>
          </w:tcPr>
          <w:p>
            <w:pPr>
              <w:spacing w:after="40"/>
            </w:pPr>
            <w:r/>
            <w:r>
              <w:rPr>
                <w:b w:val="0"/>
                <w:sz w:val="19"/>
              </w:rPr>
              <w:t>150</w:t>
            </w:r>
          </w:p>
        </w:tc>
        <w:tc>
          <w:tcPr>
            <w:tcW w:type="dxa" w:w="2268"/>
          </w:tcPr>
          <w:p>
            <w:pPr>
              <w:spacing w:after="40"/>
            </w:pPr>
            <w:r/>
            <w:r>
              <w:rPr>
                <w:b w:val="0"/>
                <w:sz w:val="19"/>
              </w:rPr>
              <w:t>150</w:t>
            </w:r>
          </w:p>
        </w:tc>
        <w:tc>
          <w:tcPr>
            <w:tcW w:type="dxa" w:w="1814"/>
          </w:tcPr>
          <w:p>
            <w:pPr>
              <w:spacing w:after="40"/>
            </w:pPr>
            <w:r/>
            <w:r>
              <w:rPr>
                <w:b w:val="0"/>
                <w:sz w:val="19"/>
              </w:rPr>
              <w:t>[I]</w:t>
            </w:r>
          </w:p>
        </w:tc>
      </w:tr>
      <w:tr>
        <w:tc>
          <w:tcPr>
            <w:tcW w:type="dxa" w:w="2494"/>
          </w:tcPr>
          <w:p>
            <w:pPr>
              <w:spacing w:after="40"/>
            </w:pPr>
            <w:r/>
            <w:r>
              <w:rPr>
                <w:b w:val="0"/>
                <w:sz w:val="19"/>
              </w:rPr>
              <w:t>15</w:t>
            </w:r>
          </w:p>
        </w:tc>
        <w:tc>
          <w:tcPr>
            <w:tcW w:type="dxa" w:w="2268"/>
          </w:tcPr>
          <w:p>
            <w:pPr>
              <w:spacing w:after="40"/>
            </w:pPr>
            <w:r/>
            <w:r>
              <w:rPr>
                <w:b w:val="0"/>
                <w:sz w:val="19"/>
              </w:rPr>
              <w:t>145</w:t>
            </w:r>
          </w:p>
        </w:tc>
        <w:tc>
          <w:tcPr>
            <w:tcW w:type="dxa" w:w="2268"/>
          </w:tcPr>
          <w:p>
            <w:pPr>
              <w:spacing w:after="40"/>
            </w:pPr>
            <w:r/>
            <w:r>
              <w:rPr>
                <w:b w:val="0"/>
                <w:sz w:val="19"/>
              </w:rPr>
              <w:t>141</w:t>
            </w:r>
          </w:p>
        </w:tc>
        <w:tc>
          <w:tcPr>
            <w:tcW w:type="dxa" w:w="1814"/>
          </w:tcPr>
          <w:p>
            <w:pPr>
              <w:spacing w:after="40"/>
            </w:pPr>
            <w:r/>
            <w:r>
              <w:rPr>
                <w:b w:val="0"/>
                <w:sz w:val="19"/>
              </w:rPr>
              <w:t>[I]</w:t>
            </w:r>
          </w:p>
        </w:tc>
      </w:tr>
      <w:tr>
        <w:tc>
          <w:tcPr>
            <w:tcW w:type="dxa" w:w="2494"/>
          </w:tcPr>
          <w:p>
            <w:pPr>
              <w:spacing w:after="40"/>
            </w:pPr>
            <w:r/>
            <w:r>
              <w:rPr>
                <w:b w:val="0"/>
                <w:sz w:val="19"/>
              </w:rPr>
              <w:t>30</w:t>
            </w:r>
          </w:p>
        </w:tc>
        <w:tc>
          <w:tcPr>
            <w:tcW w:type="dxa" w:w="2268"/>
          </w:tcPr>
          <w:p>
            <w:pPr>
              <w:spacing w:after="40"/>
            </w:pPr>
            <w:r/>
            <w:r>
              <w:rPr>
                <w:b w:val="0"/>
                <w:sz w:val="19"/>
              </w:rPr>
              <w:t>140</w:t>
            </w:r>
          </w:p>
        </w:tc>
        <w:tc>
          <w:tcPr>
            <w:tcW w:type="dxa" w:w="2268"/>
          </w:tcPr>
          <w:p>
            <w:pPr>
              <w:spacing w:after="40"/>
            </w:pPr>
            <w:r/>
            <w:r>
              <w:rPr>
                <w:b w:val="0"/>
                <w:sz w:val="19"/>
              </w:rPr>
              <w:t>131</w:t>
            </w:r>
          </w:p>
        </w:tc>
        <w:tc>
          <w:tcPr>
            <w:tcW w:type="dxa" w:w="1814"/>
          </w:tcPr>
          <w:p>
            <w:pPr>
              <w:spacing w:after="40"/>
            </w:pPr>
            <w:r/>
            <w:r>
              <w:rPr>
                <w:b w:val="0"/>
                <w:sz w:val="19"/>
              </w:rPr>
              <w:t>[I]</w:t>
            </w:r>
          </w:p>
        </w:tc>
      </w:tr>
      <w:tr>
        <w:tc>
          <w:tcPr>
            <w:tcW w:type="dxa" w:w="2494"/>
          </w:tcPr>
          <w:p>
            <w:pPr>
              <w:spacing w:after="40"/>
            </w:pPr>
            <w:r/>
            <w:r>
              <w:rPr>
                <w:b w:val="0"/>
                <w:sz w:val="19"/>
              </w:rPr>
              <w:t>45</w:t>
            </w:r>
          </w:p>
        </w:tc>
        <w:tc>
          <w:tcPr>
            <w:tcW w:type="dxa" w:w="2268"/>
          </w:tcPr>
          <w:p>
            <w:pPr>
              <w:spacing w:after="40"/>
            </w:pPr>
            <w:r/>
            <w:r>
              <w:rPr>
                <w:b w:val="0"/>
                <w:sz w:val="19"/>
              </w:rPr>
              <w:t>135</w:t>
            </w:r>
          </w:p>
        </w:tc>
        <w:tc>
          <w:tcPr>
            <w:tcW w:type="dxa" w:w="2268"/>
          </w:tcPr>
          <w:p>
            <w:pPr>
              <w:spacing w:after="40"/>
            </w:pPr>
            <w:r/>
            <w:r>
              <w:rPr>
                <w:b w:val="0"/>
                <w:sz w:val="19"/>
              </w:rPr>
              <w:t>122</w:t>
            </w:r>
          </w:p>
        </w:tc>
        <w:tc>
          <w:tcPr>
            <w:tcW w:type="dxa" w:w="1814"/>
          </w:tcPr>
          <w:p>
            <w:pPr>
              <w:spacing w:after="40"/>
            </w:pPr>
            <w:r/>
            <w:r>
              <w:rPr>
                <w:b w:val="0"/>
                <w:sz w:val="19"/>
              </w:rPr>
              <w:t>[I]</w:t>
            </w:r>
          </w:p>
        </w:tc>
      </w:tr>
      <w:tr>
        <w:tc>
          <w:tcPr>
            <w:tcW w:type="dxa" w:w="2494"/>
          </w:tcPr>
          <w:p>
            <w:pPr>
              <w:spacing w:after="40"/>
            </w:pPr>
            <w:r/>
            <w:r>
              <w:rPr>
                <w:b w:val="0"/>
                <w:sz w:val="19"/>
              </w:rPr>
              <w:t>60</w:t>
            </w:r>
          </w:p>
        </w:tc>
        <w:tc>
          <w:tcPr>
            <w:tcW w:type="dxa" w:w="2268"/>
          </w:tcPr>
          <w:p>
            <w:pPr>
              <w:spacing w:after="40"/>
            </w:pPr>
            <w:r/>
            <w:r>
              <w:rPr>
                <w:b w:val="0"/>
                <w:sz w:val="19"/>
              </w:rPr>
              <w:t>130</w:t>
            </w:r>
          </w:p>
        </w:tc>
        <w:tc>
          <w:tcPr>
            <w:tcW w:type="dxa" w:w="2268"/>
          </w:tcPr>
          <w:p>
            <w:pPr>
              <w:spacing w:after="40"/>
            </w:pPr>
            <w:r/>
            <w:r>
              <w:rPr>
                <w:b w:val="0"/>
                <w:sz w:val="19"/>
              </w:rPr>
              <w:t>113</w:t>
            </w:r>
          </w:p>
        </w:tc>
        <w:tc>
          <w:tcPr>
            <w:tcW w:type="dxa" w:w="1814"/>
          </w:tcPr>
          <w:p>
            <w:pPr>
              <w:spacing w:after="40"/>
            </w:pPr>
            <w:r/>
            <w:r>
              <w:rPr>
                <w:b w:val="0"/>
                <w:sz w:val="19"/>
              </w:rPr>
              <w:t>[I]</w:t>
            </w:r>
          </w:p>
        </w:tc>
      </w:tr>
      <w:tr>
        <w:tc>
          <w:tcPr>
            <w:tcW w:type="dxa" w:w="2494"/>
          </w:tcPr>
          <w:p>
            <w:pPr>
              <w:spacing w:after="40"/>
            </w:pPr>
            <w:r/>
            <w:r>
              <w:rPr>
                <w:b w:val="0"/>
                <w:sz w:val="19"/>
              </w:rPr>
              <w:t>90</w:t>
            </w:r>
          </w:p>
        </w:tc>
        <w:tc>
          <w:tcPr>
            <w:tcW w:type="dxa" w:w="2268"/>
          </w:tcPr>
          <w:p>
            <w:pPr>
              <w:spacing w:after="40"/>
            </w:pPr>
            <w:r/>
            <w:r>
              <w:rPr>
                <w:b/>
                <w:sz w:val="19"/>
              </w:rPr>
              <w:t>120</w:t>
            </w:r>
          </w:p>
        </w:tc>
        <w:tc>
          <w:tcPr>
            <w:tcW w:type="dxa" w:w="2268"/>
          </w:tcPr>
          <w:p>
            <w:pPr>
              <w:spacing w:after="40"/>
            </w:pPr>
            <w:r/>
            <w:r>
              <w:rPr>
                <w:b w:val="0"/>
                <w:color w:val="B3261E"/>
                <w:sz w:val="19"/>
              </w:rPr>
              <w:t>94</w:t>
            </w:r>
          </w:p>
        </w:tc>
        <w:tc>
          <w:tcPr>
            <w:tcW w:type="dxa" w:w="1814"/>
          </w:tcPr>
          <w:p>
            <w:pPr>
              <w:spacing w:after="40"/>
            </w:pPr>
            <w:r/>
            <w:r>
              <w:rPr>
                <w:b w:val="0"/>
                <w:sz w:val="19"/>
              </w:rPr>
              <w:t>[I]</w:t>
            </w:r>
          </w:p>
        </w:tc>
      </w:tr>
      <w:tr>
        <w:tc>
          <w:tcPr>
            <w:tcW w:type="dxa" w:w="2494"/>
          </w:tcPr>
          <w:p>
            <w:pPr>
              <w:spacing w:after="40"/>
            </w:pPr>
            <w:r/>
            <w:r>
              <w:rPr>
                <w:b w:val="0"/>
                <w:sz w:val="19"/>
              </w:rPr>
              <w:t>120</w:t>
            </w:r>
          </w:p>
        </w:tc>
        <w:tc>
          <w:tcPr>
            <w:tcW w:type="dxa" w:w="2268"/>
          </w:tcPr>
          <w:p>
            <w:pPr>
              <w:spacing w:after="40"/>
            </w:pPr>
            <w:r/>
            <w:r>
              <w:rPr>
                <w:b/>
                <w:sz w:val="19"/>
              </w:rPr>
              <w:t>111</w:t>
            </w:r>
          </w:p>
        </w:tc>
        <w:tc>
          <w:tcPr>
            <w:tcW w:type="dxa" w:w="2268"/>
          </w:tcPr>
          <w:p>
            <w:pPr>
              <w:spacing w:after="40"/>
            </w:pPr>
            <w:r/>
            <w:r>
              <w:rPr>
                <w:b w:val="0"/>
                <w:color w:val="B3261E"/>
                <w:sz w:val="19"/>
              </w:rPr>
              <w:t>76</w:t>
            </w:r>
          </w:p>
        </w:tc>
        <w:tc>
          <w:tcPr>
            <w:tcW w:type="dxa" w:w="1814"/>
          </w:tcPr>
          <w:p>
            <w:pPr>
              <w:spacing w:after="40"/>
            </w:pPr>
            <w:r/>
            <w:r>
              <w:rPr>
                <w:b w:val="0"/>
                <w:sz w:val="19"/>
              </w:rPr>
              <w:t>[I]</w:t>
            </w:r>
          </w:p>
        </w:tc>
      </w:tr>
      <w:tr>
        <w:tc>
          <w:tcPr>
            <w:tcW w:type="dxa" w:w="2494"/>
          </w:tcPr>
          <w:p>
            <w:pPr>
              <w:spacing w:after="40"/>
            </w:pPr>
            <w:r/>
            <w:r>
              <w:rPr>
                <w:b/>
                <w:sz w:val="19"/>
              </w:rPr>
              <w:t>Acceptable band</w:t>
            </w:r>
          </w:p>
        </w:tc>
        <w:tc>
          <w:tcPr>
            <w:tcW w:type="dxa" w:w="2268"/>
          </w:tcPr>
          <w:p>
            <w:pPr>
              <w:spacing w:after="40"/>
            </w:pPr>
            <w:r/>
            <w:r>
              <w:rPr>
                <w:b/>
                <w:sz w:val="19"/>
              </w:rPr>
              <w:t>100–150 mm</w:t>
            </w:r>
          </w:p>
        </w:tc>
        <w:tc>
          <w:tcPr>
            <w:tcW w:type="dxa" w:w="2268"/>
          </w:tcPr>
          <w:p>
            <w:pPr>
              <w:spacing w:after="40"/>
            </w:pPr>
            <w:r/>
            <w:r>
              <w:rPr>
                <w:b/>
                <w:sz w:val="19"/>
              </w:rPr>
              <w:t>100–150 mm</w:t>
            </w:r>
          </w:p>
        </w:tc>
        <w:tc>
          <w:tcPr>
            <w:tcW w:type="dxa" w:w="1814"/>
          </w:tcPr>
          <w:p>
            <w:pPr>
              <w:spacing w:after="40"/>
            </w:pPr>
            <w:r/>
            <w:r>
              <w:rPr>
                <w:b w:val="0"/>
                <w:sz w:val="19"/>
              </w:rPr>
              <w:t>[S] IS 1199</w:t>
            </w:r>
          </w:p>
        </w:tc>
      </w:tr>
    </w:tbl>
    <w:p>
      <w:pPr>
        <w:spacing w:after="60"/>
      </w:pPr>
    </w:p>
    <w:p>
      <w:pPr>
        <w:jc w:val="both"/>
      </w:pPr>
      <w:r>
        <w:rPr>
          <w:b w:val="0"/>
          <w:i/>
          <w:color w:val="5D6B7A"/>
          <w:sz w:val="18"/>
        </w:rPr>
        <w:t>Curves are representative. Your own laboratory can measure the real relationship for Bhubaneswar conditions in a single afternoon, and that measurement is a genuine local contribution.</w:t>
      </w:r>
    </w:p>
    <w:p>
      <w:pPr>
        <w:pStyle w:val="Heading2"/>
      </w:pPr>
      <w:r>
        <w:t>Dataset 9 — Where slump variability comes from</w:t>
      </w:r>
    </w:p>
    <w:tbl>
      <w:tblPr>
        <w:tblStyle w:val="TableGrid"/>
        <w:tblW w:type="auto" w:w="0"/>
        <w:jc w:val="center"/>
        <w:tblLook w:firstColumn="1" w:firstRow="1" w:lastColumn="0" w:lastRow="0" w:noHBand="0" w:noVBand="1" w:val="04A0"/>
      </w:tblPr>
      <w:tblGrid>
        <w:gridCol w:w="3118"/>
        <w:gridCol w:w="3118"/>
        <w:gridCol w:w="3118"/>
      </w:tblGrid>
      <w:tr>
        <w:tc>
          <w:tcPr>
            <w:tcW w:type="dxa" w:w="3742"/>
            <w:shd w:val="clear" w:color="auto" w:fill="1F3B5C"/>
          </w:tcPr>
          <w:p>
            <w:pPr>
              <w:jc w:val="center"/>
            </w:pPr>
            <w:r/>
            <w:r>
              <w:rPr>
                <w:b/>
                <w:color w:val="FFFFFF"/>
                <w:sz w:val="19"/>
              </w:rPr>
              <w:t>Source of variation</w:t>
            </w:r>
          </w:p>
        </w:tc>
        <w:tc>
          <w:tcPr>
            <w:tcW w:type="dxa" w:w="3061"/>
            <w:shd w:val="clear" w:color="auto" w:fill="1F3B5C"/>
          </w:tcPr>
          <w:p>
            <w:pPr>
              <w:jc w:val="center"/>
            </w:pPr>
            <w:r/>
            <w:r>
              <w:rPr>
                <w:b/>
                <w:color w:val="FFFFFF"/>
                <w:sz w:val="19"/>
              </w:rPr>
              <w:t>Typical slump variation (mm)</w:t>
            </w:r>
          </w:p>
        </w:tc>
        <w:tc>
          <w:tcPr>
            <w:tcW w:type="dxa" w:w="2268"/>
            <w:shd w:val="clear" w:color="auto" w:fill="1F3B5C"/>
          </w:tcPr>
          <w:p>
            <w:pPr>
              <w:jc w:val="center"/>
            </w:pPr>
            <w:r/>
            <w:r>
              <w:rPr>
                <w:b/>
                <w:color w:val="FFFFFF"/>
                <w:sz w:val="19"/>
              </w:rPr>
              <w:t>Origin</w:t>
            </w:r>
          </w:p>
        </w:tc>
      </w:tr>
      <w:tr>
        <w:tc>
          <w:tcPr>
            <w:tcW w:type="dxa" w:w="3742"/>
          </w:tcPr>
          <w:p>
            <w:pPr>
              <w:spacing w:after="40"/>
            </w:pPr>
            <w:r/>
            <w:r>
              <w:rPr>
                <w:b w:val="0"/>
                <w:sz w:val="19"/>
              </w:rPr>
              <w:t>Transit time and temperature</w:t>
            </w:r>
          </w:p>
        </w:tc>
        <w:tc>
          <w:tcPr>
            <w:tcW w:type="dxa" w:w="3061"/>
          </w:tcPr>
          <w:p>
            <w:pPr>
              <w:spacing w:after="40"/>
            </w:pPr>
            <w:r/>
            <w:r>
              <w:rPr>
                <w:b w:val="0"/>
                <w:color w:val="B3261E"/>
                <w:sz w:val="19"/>
              </w:rPr>
              <w:t>±25</w:t>
            </w:r>
          </w:p>
        </w:tc>
        <w:tc>
          <w:tcPr>
            <w:tcW w:type="dxa" w:w="2268"/>
          </w:tcPr>
          <w:p>
            <w:pPr>
              <w:spacing w:after="40"/>
            </w:pPr>
            <w:r/>
            <w:r>
              <w:rPr>
                <w:b w:val="0"/>
                <w:sz w:val="19"/>
              </w:rPr>
              <w:t>[I]</w:t>
            </w:r>
          </w:p>
        </w:tc>
      </w:tr>
      <w:tr>
        <w:tc>
          <w:tcPr>
            <w:tcW w:type="dxa" w:w="3742"/>
          </w:tcPr>
          <w:p>
            <w:pPr>
              <w:spacing w:after="40"/>
            </w:pPr>
            <w:r/>
            <w:r>
              <w:rPr>
                <w:b w:val="0"/>
                <w:sz w:val="19"/>
              </w:rPr>
              <w:t>Manual batching</w:t>
            </w:r>
          </w:p>
        </w:tc>
        <w:tc>
          <w:tcPr>
            <w:tcW w:type="dxa" w:w="3061"/>
          </w:tcPr>
          <w:p>
            <w:pPr>
              <w:spacing w:after="40"/>
            </w:pPr>
            <w:r/>
            <w:r>
              <w:rPr>
                <w:b w:val="0"/>
                <w:color w:val="B3261E"/>
                <w:sz w:val="19"/>
              </w:rPr>
              <w:t>±20</w:t>
            </w:r>
          </w:p>
        </w:tc>
        <w:tc>
          <w:tcPr>
            <w:tcW w:type="dxa" w:w="2268"/>
          </w:tcPr>
          <w:p>
            <w:pPr>
              <w:spacing w:after="40"/>
            </w:pPr>
            <w:r/>
            <w:r>
              <w:rPr>
                <w:b w:val="0"/>
                <w:sz w:val="19"/>
              </w:rPr>
              <w:t>[S]</w:t>
            </w:r>
          </w:p>
        </w:tc>
      </w:tr>
      <w:tr>
        <w:tc>
          <w:tcPr>
            <w:tcW w:type="dxa" w:w="3742"/>
          </w:tcPr>
          <w:p>
            <w:pPr>
              <w:spacing w:after="40"/>
            </w:pPr>
            <w:r/>
            <w:r>
              <w:rPr>
                <w:b w:val="0"/>
                <w:sz w:val="19"/>
              </w:rPr>
              <w:t>Aggregate moisture content</w:t>
            </w:r>
          </w:p>
        </w:tc>
        <w:tc>
          <w:tcPr>
            <w:tcW w:type="dxa" w:w="3061"/>
          </w:tcPr>
          <w:p>
            <w:pPr>
              <w:spacing w:after="40"/>
            </w:pPr>
            <w:r/>
            <w:r>
              <w:rPr>
                <w:b w:val="0"/>
                <w:sz w:val="19"/>
              </w:rPr>
              <w:t>±18</w:t>
            </w:r>
          </w:p>
        </w:tc>
        <w:tc>
          <w:tcPr>
            <w:tcW w:type="dxa" w:w="2268"/>
          </w:tcPr>
          <w:p>
            <w:pPr>
              <w:spacing w:after="40"/>
            </w:pPr>
            <w:r/>
            <w:r>
              <w:rPr>
                <w:b w:val="0"/>
                <w:sz w:val="19"/>
              </w:rPr>
              <w:t>[I]</w:t>
            </w:r>
          </w:p>
        </w:tc>
      </w:tr>
      <w:tr>
        <w:tc>
          <w:tcPr>
            <w:tcW w:type="dxa" w:w="3742"/>
          </w:tcPr>
          <w:p>
            <w:pPr>
              <w:spacing w:after="40"/>
            </w:pPr>
            <w:r/>
            <w:r>
              <w:rPr>
                <w:b w:val="0"/>
                <w:sz w:val="19"/>
              </w:rPr>
              <w:t>Operator judgement in testing</w:t>
            </w:r>
          </w:p>
        </w:tc>
        <w:tc>
          <w:tcPr>
            <w:tcW w:type="dxa" w:w="3061"/>
          </w:tcPr>
          <w:p>
            <w:pPr>
              <w:spacing w:after="40"/>
            </w:pPr>
            <w:r/>
            <w:r>
              <w:rPr>
                <w:b w:val="0"/>
                <w:sz w:val="19"/>
              </w:rPr>
              <w:t>±15</w:t>
            </w:r>
          </w:p>
        </w:tc>
        <w:tc>
          <w:tcPr>
            <w:tcW w:type="dxa" w:w="2268"/>
          </w:tcPr>
          <w:p>
            <w:pPr>
              <w:spacing w:after="40"/>
            </w:pPr>
            <w:r/>
            <w:r>
              <w:rPr>
                <w:b w:val="0"/>
                <w:sz w:val="19"/>
              </w:rPr>
              <w:t>[I]</w:t>
            </w:r>
          </w:p>
        </w:tc>
      </w:tr>
      <w:tr>
        <w:tc>
          <w:tcPr>
            <w:tcW w:type="dxa" w:w="3742"/>
          </w:tcPr>
          <w:p>
            <w:pPr>
              <w:spacing w:after="40"/>
            </w:pPr>
            <w:r/>
            <w:r>
              <w:rPr>
                <w:b w:val="0"/>
                <w:sz w:val="19"/>
              </w:rPr>
              <w:t>Admixture dosing accuracy</w:t>
            </w:r>
          </w:p>
        </w:tc>
        <w:tc>
          <w:tcPr>
            <w:tcW w:type="dxa" w:w="3061"/>
          </w:tcPr>
          <w:p>
            <w:pPr>
              <w:spacing w:after="40"/>
            </w:pPr>
            <w:r/>
            <w:r>
              <w:rPr>
                <w:b w:val="0"/>
                <w:sz w:val="19"/>
              </w:rPr>
              <w:t>±12</w:t>
            </w:r>
          </w:p>
        </w:tc>
        <w:tc>
          <w:tcPr>
            <w:tcW w:type="dxa" w:w="2268"/>
          </w:tcPr>
          <w:p>
            <w:pPr>
              <w:spacing w:after="40"/>
            </w:pPr>
            <w:r/>
            <w:r>
              <w:rPr>
                <w:b w:val="0"/>
                <w:sz w:val="19"/>
              </w:rPr>
              <w:t>[I]</w:t>
            </w:r>
          </w:p>
        </w:tc>
      </w:tr>
    </w:tbl>
    <w:p>
      <w:pPr>
        <w:spacing w:after="60"/>
      </w:pPr>
    </w:p>
    <w:p>
      <w:pPr>
        <w:jc w:val="center"/>
      </w:pPr>
      <w:r>
        <w:drawing>
          <wp:inline xmlns:a="http://schemas.openxmlformats.org/drawingml/2006/main" xmlns:pic="http://schemas.openxmlformats.org/drawingml/2006/picture">
            <wp:extent cx="5580000" cy="2320396"/>
            <wp:docPr id="7" name="Picture 7"/>
            <wp:cNvGraphicFramePr>
              <a:graphicFrameLocks noChangeAspect="1"/>
            </wp:cNvGraphicFramePr>
            <a:graphic>
              <a:graphicData uri="http://schemas.openxmlformats.org/drawingml/2006/picture">
                <pic:pic>
                  <pic:nvPicPr>
                    <pic:cNvPr id="0" name="fig8_slump.png"/>
                    <pic:cNvPicPr/>
                  </pic:nvPicPr>
                  <pic:blipFill>
                    <a:blip r:embed="rId15"/>
                    <a:stretch>
                      <a:fillRect/>
                    </a:stretch>
                  </pic:blipFill>
                  <pic:spPr>
                    <a:xfrm>
                      <a:off x="0" y="0"/>
                      <a:ext cx="5580000" cy="2320396"/>
                    </a:xfrm>
                    <a:prstGeom prst="rect"/>
                  </pic:spPr>
                </pic:pic>
              </a:graphicData>
            </a:graphic>
          </wp:inline>
        </w:drawing>
      </w:r>
    </w:p>
    <w:p>
      <w:pPr>
        <w:spacing w:after="200"/>
        <w:jc w:val="center"/>
      </w:pPr>
      <w:r>
        <w:rPr>
          <w:i/>
          <w:color w:val="5D6B7A"/>
          <w:sz w:val="17"/>
        </w:rPr>
        <w:t>Figure 7 — Left: slump loss in transit. Right: contributions to variability. The ±20 mm manual batching figure is as published.</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The research gap this exposes</w:t>
            </w:r>
          </w:p>
          <w:p>
            <w:pPr>
              <w:jc w:val="both"/>
            </w:pPr>
            <w:r>
              <w:rPr>
                <w:sz w:val="20"/>
              </w:rPr>
              <w:t>The slump test measures one instant, at one place, judged by one person. Yet slump changes continuously and the acceptable band is only 50 mm wide. Meanwhile the test itself contributes about ±15 mm of operator variation — nearly a third of the band. An objective, instantaneous, repeatable measurement obtainable from an ordinary phone would remove that error entirely and allow every load to be checked instead of a sample.</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8 (Line chart with a shaded acceptable band)</w:t>
            </w:r>
          </w:p>
          <w:p>
            <w:pPr>
              <w:spacing w:after="40"/>
              <w:ind w:left="340"/>
              <w:jc w:val="both"/>
            </w:pPr>
            <w:r>
              <w:rPr>
                <w:b/>
                <w:sz w:val="19"/>
              </w:rPr>
              <w:t xml:space="preserve">1.  </w:t>
            </w:r>
            <w:r>
              <w:rPr>
                <w:sz w:val="19"/>
              </w:rPr>
              <w:t>Enter times in A2:A8, the 25 °C slump in B2:B8 and the 40 °C slump in C2:C8.</w:t>
            </w:r>
          </w:p>
          <w:p>
            <w:pPr>
              <w:spacing w:after="40"/>
              <w:ind w:left="340"/>
              <w:jc w:val="both"/>
            </w:pPr>
            <w:r>
              <w:rPr>
                <w:b/>
                <w:sz w:val="19"/>
              </w:rPr>
              <w:t xml:space="preserve">2.  </w:t>
            </w:r>
            <w:r>
              <w:rPr>
                <w:sz w:val="19"/>
              </w:rPr>
              <w:t>Select A1:C8 → Insert → Insert Line or Area Chart → Line with Markers. Here the x-values are evenly spaced, so a Line chart is correct.</w:t>
            </w:r>
          </w:p>
          <w:p>
            <w:pPr>
              <w:spacing w:after="40"/>
              <w:ind w:left="340"/>
              <w:jc w:val="both"/>
            </w:pPr>
            <w:r>
              <w:rPr>
                <w:b/>
                <w:sz w:val="19"/>
              </w:rPr>
              <w:t xml:space="preserve">3.  </w:t>
            </w:r>
            <w:r>
              <w:rPr>
                <w:sz w:val="19"/>
              </w:rPr>
              <w:t>To shade the acceptable band: add two more columns, D filled with 100 and E filled with 150, for every row.</w:t>
            </w:r>
          </w:p>
          <w:p>
            <w:pPr>
              <w:spacing w:after="40"/>
              <w:ind w:left="340"/>
              <w:jc w:val="both"/>
            </w:pPr>
            <w:r>
              <w:rPr>
                <w:b/>
                <w:sz w:val="19"/>
              </w:rPr>
              <w:t xml:space="preserve">4.  </w:t>
            </w:r>
            <w:r>
              <w:rPr>
                <w:sz w:val="19"/>
              </w:rPr>
              <w:t>Right-click the chart → Select Data → Add both new columns as series.</w:t>
            </w:r>
          </w:p>
          <w:p>
            <w:pPr>
              <w:spacing w:after="40"/>
              <w:ind w:left="340"/>
              <w:jc w:val="both"/>
            </w:pPr>
            <w:r>
              <w:rPr>
                <w:b/>
                <w:sz w:val="19"/>
              </w:rPr>
              <w:t xml:space="preserve">5.  </w:t>
            </w:r>
            <w:r>
              <w:rPr>
                <w:sz w:val="19"/>
              </w:rPr>
              <w:t>Right-click each new series → Change Series Chart Type → Area, and set the 150-series fill to light green with about 15% transparency and the 100-series fill to white. The result is a shaded band between 100 and 150.</w:t>
            </w:r>
          </w:p>
          <w:p>
            <w:pPr>
              <w:spacing w:after="40"/>
              <w:ind w:left="340"/>
              <w:jc w:val="both"/>
            </w:pPr>
            <w:r>
              <w:rPr>
                <w:b/>
                <w:sz w:val="19"/>
              </w:rPr>
              <w:t xml:space="preserve">6.  </w:t>
            </w:r>
            <w:r>
              <w:rPr>
                <w:sz w:val="19"/>
              </w:rPr>
              <w:t>Right-click the new series → Format Data Series → Border → No line, so only the shading shows.</w:t>
            </w:r>
          </w:p>
          <w:p>
            <w:pPr>
              <w:spacing w:after="40"/>
              <w:ind w:left="340"/>
              <w:jc w:val="both"/>
            </w:pPr>
            <w:r>
              <w:rPr>
                <w:b/>
                <w:sz w:val="19"/>
              </w:rPr>
              <w:t xml:space="preserve">7.  </w:t>
            </w:r>
            <w:r>
              <w:rPr>
                <w:sz w:val="19"/>
              </w:rPr>
              <w:t>Move the two data lines in front: Select Data → use the up arrow to reorder them above the area series.</w:t>
            </w:r>
          </w:p>
          <w:p>
            <w:pPr>
              <w:spacing w:after="40"/>
              <w:ind w:left="340"/>
              <w:jc w:val="both"/>
            </w:pPr>
            <w:r>
              <w:rPr>
                <w:b/>
                <w:sz w:val="19"/>
              </w:rPr>
              <w:t xml:space="preserve">8.  </w:t>
            </w:r>
            <w:r>
              <w:rPr>
                <w:sz w:val="19"/>
              </w:rPr>
              <w:t>Add axis titles 'Time after batching (minutes)' and 'Slump (mm)'.</w:t>
            </w:r>
          </w:p>
        </w:tc>
      </w:tr>
    </w:tbl>
    <w:p>
      <w:pPr>
        <w:spacing w:after="16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9 (Bar chart, sorted)</w:t>
            </w:r>
          </w:p>
          <w:p>
            <w:pPr>
              <w:spacing w:after="40"/>
              <w:ind w:left="340"/>
              <w:jc w:val="both"/>
            </w:pPr>
            <w:r>
              <w:rPr>
                <w:b/>
                <w:sz w:val="19"/>
              </w:rPr>
              <w:t xml:space="preserve">1.  </w:t>
            </w:r>
            <w:r>
              <w:rPr>
                <w:sz w:val="19"/>
              </w:rPr>
              <w:t>Enter the five sources in A2:A6 and the variation values in B2:B6.</w:t>
            </w:r>
          </w:p>
          <w:p>
            <w:pPr>
              <w:spacing w:after="40"/>
              <w:ind w:left="340"/>
              <w:jc w:val="both"/>
            </w:pPr>
            <w:r>
              <w:rPr>
                <w:b/>
                <w:sz w:val="19"/>
              </w:rPr>
              <w:t xml:space="preserve">2.  </w:t>
            </w:r>
            <w:r>
              <w:rPr>
                <w:sz w:val="19"/>
              </w:rPr>
              <w:t>Sort before charting: select A2:B6 → Data ribbon → Sort → sort by column B, Largest to Smallest. A sorted bar chart is far easier to read.</w:t>
            </w:r>
          </w:p>
          <w:p>
            <w:pPr>
              <w:spacing w:after="40"/>
              <w:ind w:left="340"/>
              <w:jc w:val="both"/>
            </w:pPr>
            <w:r>
              <w:rPr>
                <w:b/>
                <w:sz w:val="19"/>
              </w:rPr>
              <w:t xml:space="preserve">3.  </w:t>
            </w:r>
            <w:r>
              <w:rPr>
                <w:sz w:val="19"/>
              </w:rPr>
              <w:t>Select A1:B6 → Insert → Insert Column or Bar Chart → Clustered Bar (horizontal). Horizontal bars suit long category names.</w:t>
            </w:r>
          </w:p>
          <w:p>
            <w:pPr>
              <w:spacing w:after="40"/>
              <w:ind w:left="340"/>
              <w:jc w:val="both"/>
            </w:pPr>
            <w:r>
              <w:rPr>
                <w:b/>
                <w:sz w:val="19"/>
              </w:rPr>
              <w:t xml:space="preserve">4.  </w:t>
            </w:r>
            <w:r>
              <w:rPr>
                <w:sz w:val="19"/>
              </w:rPr>
              <w:t>Right-click the vertical axis → Format Axis → tick 'Categories in reverse order' so the largest value appears at the top.</w:t>
            </w:r>
          </w:p>
          <w:p>
            <w:pPr>
              <w:spacing w:after="40"/>
              <w:ind w:left="340"/>
              <w:jc w:val="both"/>
            </w:pPr>
            <w:r>
              <w:rPr>
                <w:b/>
                <w:sz w:val="19"/>
              </w:rPr>
              <w:t xml:space="preserve">5.  </w:t>
            </w:r>
            <w:r>
              <w:rPr>
                <w:sz w:val="19"/>
              </w:rPr>
              <w:t>Click + → Data Labels → Outside End.</w:t>
            </w:r>
          </w:p>
          <w:p>
            <w:pPr>
              <w:spacing w:after="40"/>
              <w:ind w:left="340"/>
              <w:jc w:val="both"/>
            </w:pPr>
            <w:r>
              <w:rPr>
                <w:b/>
                <w:sz w:val="19"/>
              </w:rPr>
              <w:t xml:space="preserve">6.  </w:t>
            </w:r>
            <w:r>
              <w:rPr>
                <w:sz w:val="19"/>
              </w:rPr>
              <w:t>Colour the two largest bars red and the rest amber to direct the reader's eye.</w:t>
            </w:r>
          </w:p>
        </w:tc>
      </w:tr>
    </w:tbl>
    <w:p>
      <w:pPr>
        <w:spacing w:after="160"/>
      </w:pPr>
    </w:p>
    <w:p>
      <w:r>
        <w:br w:type="page"/>
      </w:r>
    </w:p>
    <w:p>
      <w:pPr>
        <w:pStyle w:val="Heading1"/>
      </w:pPr>
      <w:r>
        <w:t>PART E — THE RESEARCH GAP MAP</w:t>
      </w:r>
    </w:p>
    <w:p>
      <w:pPr>
        <w:pStyle w:val="Heading2"/>
      </w:pPr>
      <w:r>
        <w:t>Dataset 10 — What the literature does and does not do</w:t>
      </w:r>
    </w:p>
    <w:p>
      <w:pPr>
        <w:jc w:val="both"/>
      </w:pPr>
      <w:r>
        <w:rPr>
          <w:b w:val="0"/>
          <w:i w:val="0"/>
        </w:rPr>
        <w:t>This table positions all three projects against the existing body of research. It is the single most useful slide in a proposal presentation.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742"/>
            <w:shd w:val="clear" w:color="auto" w:fill="1F3B5C"/>
          </w:tcPr>
          <w:p>
            <w:pPr>
              <w:jc w:val="center"/>
            </w:pPr>
            <w:r/>
            <w:r>
              <w:rPr>
                <w:b/>
                <w:color w:val="FFFFFF"/>
                <w:sz w:val="19"/>
              </w:rPr>
              <w:t>Practice in published concrete-ML studies</w:t>
            </w:r>
          </w:p>
        </w:tc>
        <w:tc>
          <w:tcPr>
            <w:tcW w:type="dxa" w:w="1701"/>
            <w:shd w:val="clear" w:color="auto" w:fill="1F3B5C"/>
          </w:tcPr>
          <w:p>
            <w:pPr>
              <w:jc w:val="center"/>
            </w:pPr>
            <w:r/>
            <w:r>
              <w:rPr>
                <w:b/>
                <w:color w:val="FFFFFF"/>
                <w:sz w:val="19"/>
              </w:rPr>
              <w:t>Approx. share (%)</w:t>
            </w:r>
          </w:p>
        </w:tc>
        <w:tc>
          <w:tcPr>
            <w:tcW w:type="dxa" w:w="2041"/>
            <w:shd w:val="clear" w:color="auto" w:fill="1F3B5C"/>
          </w:tcPr>
          <w:p>
            <w:pPr>
              <w:jc w:val="center"/>
            </w:pPr>
            <w:r/>
            <w:r>
              <w:rPr>
                <w:b/>
                <w:color w:val="FFFFFF"/>
                <w:sz w:val="19"/>
              </w:rPr>
              <w:t>Our position</w:t>
            </w:r>
          </w:p>
        </w:tc>
        <w:tc>
          <w:tcPr>
            <w:tcW w:type="dxa" w:w="1587"/>
            <w:shd w:val="clear" w:color="auto" w:fill="1F3B5C"/>
          </w:tcPr>
          <w:p>
            <w:pPr>
              <w:jc w:val="center"/>
            </w:pPr>
            <w:r/>
            <w:r>
              <w:rPr>
                <w:b/>
                <w:color w:val="FFFFFF"/>
                <w:sz w:val="19"/>
              </w:rPr>
              <w:t>Origin</w:t>
            </w:r>
          </w:p>
        </w:tc>
      </w:tr>
      <w:tr>
        <w:tc>
          <w:tcPr>
            <w:tcW w:type="dxa" w:w="3742"/>
          </w:tcPr>
          <w:p>
            <w:pPr>
              <w:spacing w:after="40"/>
            </w:pPr>
            <w:r/>
            <w:r>
              <w:rPr>
                <w:b w:val="0"/>
                <w:sz w:val="19"/>
              </w:rPr>
              <w:t>Predicts 28-day compressive strength</w:t>
            </w:r>
          </w:p>
        </w:tc>
        <w:tc>
          <w:tcPr>
            <w:tcW w:type="dxa" w:w="1701"/>
          </w:tcPr>
          <w:p>
            <w:pPr>
              <w:spacing w:after="40"/>
            </w:pPr>
            <w:r/>
            <w:r>
              <w:rPr>
                <w:b w:val="0"/>
                <w:sz w:val="19"/>
              </w:rPr>
              <w:t>95</w:t>
            </w:r>
          </w:p>
        </w:tc>
        <w:tc>
          <w:tcPr>
            <w:tcW w:type="dxa" w:w="2041"/>
          </w:tcPr>
          <w:p>
            <w:pPr>
              <w:spacing w:after="40"/>
            </w:pPr>
            <w:r/>
            <w:r>
              <w:rPr>
                <w:b w:val="0"/>
                <w:sz w:val="19"/>
              </w:rPr>
              <w:t>We do this too</w:t>
            </w:r>
          </w:p>
        </w:tc>
        <w:tc>
          <w:tcPr>
            <w:tcW w:type="dxa" w:w="1587"/>
          </w:tcPr>
          <w:p>
            <w:pPr>
              <w:spacing w:after="40"/>
            </w:pPr>
            <w:r/>
            <w:r>
              <w:rPr>
                <w:b w:val="0"/>
                <w:sz w:val="19"/>
              </w:rPr>
              <w:t>[I]</w:t>
            </w:r>
          </w:p>
        </w:tc>
      </w:tr>
      <w:tr>
        <w:tc>
          <w:tcPr>
            <w:tcW w:type="dxa" w:w="3742"/>
          </w:tcPr>
          <w:p>
            <w:pPr>
              <w:spacing w:after="40"/>
            </w:pPr>
            <w:r/>
            <w:r>
              <w:rPr>
                <w:b w:val="0"/>
                <w:sz w:val="19"/>
              </w:rPr>
              <w:t>Reports R² as the headline result</w:t>
            </w:r>
          </w:p>
        </w:tc>
        <w:tc>
          <w:tcPr>
            <w:tcW w:type="dxa" w:w="1701"/>
          </w:tcPr>
          <w:p>
            <w:pPr>
              <w:spacing w:after="40"/>
            </w:pPr>
            <w:r/>
            <w:r>
              <w:rPr>
                <w:b w:val="0"/>
                <w:sz w:val="19"/>
              </w:rPr>
              <w:t>88</w:t>
            </w:r>
          </w:p>
        </w:tc>
        <w:tc>
          <w:tcPr>
            <w:tcW w:type="dxa" w:w="2041"/>
          </w:tcPr>
          <w:p>
            <w:pPr>
              <w:spacing w:after="40"/>
            </w:pPr>
            <w:r/>
            <w:r>
              <w:rPr>
                <w:b w:val="0"/>
                <w:sz w:val="19"/>
              </w:rPr>
              <w:t>We report more</w:t>
            </w:r>
          </w:p>
        </w:tc>
        <w:tc>
          <w:tcPr>
            <w:tcW w:type="dxa" w:w="1587"/>
          </w:tcPr>
          <w:p>
            <w:pPr>
              <w:spacing w:after="40"/>
            </w:pPr>
            <w:r/>
            <w:r>
              <w:rPr>
                <w:b w:val="0"/>
                <w:sz w:val="19"/>
              </w:rPr>
              <w:t>[I]</w:t>
            </w:r>
          </w:p>
        </w:tc>
      </w:tr>
      <w:tr>
        <w:tc>
          <w:tcPr>
            <w:tcW w:type="dxa" w:w="3742"/>
          </w:tcPr>
          <w:p>
            <w:pPr>
              <w:spacing w:after="40"/>
            </w:pPr>
            <w:r/>
            <w:r>
              <w:rPr>
                <w:b w:val="0"/>
                <w:sz w:val="19"/>
              </w:rPr>
              <w:t>Reports calibrated uncertainty</w:t>
            </w:r>
          </w:p>
        </w:tc>
        <w:tc>
          <w:tcPr>
            <w:tcW w:type="dxa" w:w="1701"/>
          </w:tcPr>
          <w:p>
            <w:pPr>
              <w:spacing w:after="40"/>
            </w:pPr>
            <w:r/>
            <w:r>
              <w:rPr>
                <w:b w:val="0"/>
                <w:color w:val="B3261E"/>
                <w:sz w:val="19"/>
              </w:rPr>
              <w:t>12</w:t>
            </w:r>
          </w:p>
        </w:tc>
        <w:tc>
          <w:tcPr>
            <w:tcW w:type="dxa" w:w="2041"/>
          </w:tcPr>
          <w:p>
            <w:pPr>
              <w:spacing w:after="40"/>
            </w:pPr>
            <w:r/>
            <w:r>
              <w:rPr>
                <w:b/>
                <w:color w:val="0F7B4F"/>
                <w:sz w:val="19"/>
              </w:rPr>
              <w:t>We do this</w:t>
            </w:r>
          </w:p>
        </w:tc>
        <w:tc>
          <w:tcPr>
            <w:tcW w:type="dxa" w:w="1587"/>
          </w:tcPr>
          <w:p>
            <w:pPr>
              <w:spacing w:after="40"/>
            </w:pPr>
            <w:r/>
            <w:r>
              <w:rPr>
                <w:b w:val="0"/>
                <w:sz w:val="19"/>
              </w:rPr>
              <w:t>[I]</w:t>
            </w:r>
          </w:p>
        </w:tc>
      </w:tr>
      <w:tr>
        <w:tc>
          <w:tcPr>
            <w:tcW w:type="dxa" w:w="3742"/>
          </w:tcPr>
          <w:p>
            <w:pPr>
              <w:spacing w:after="40"/>
            </w:pPr>
            <w:r/>
            <w:r>
              <w:rPr>
                <w:b w:val="0"/>
                <w:sz w:val="19"/>
              </w:rPr>
              <w:t>Couples ML with the codal maturity method</w:t>
            </w:r>
          </w:p>
        </w:tc>
        <w:tc>
          <w:tcPr>
            <w:tcW w:type="dxa" w:w="1701"/>
          </w:tcPr>
          <w:p>
            <w:pPr>
              <w:spacing w:after="40"/>
            </w:pPr>
            <w:r/>
            <w:r>
              <w:rPr>
                <w:b w:val="0"/>
                <w:color w:val="B3261E"/>
                <w:sz w:val="19"/>
              </w:rPr>
              <w:t>8</w:t>
            </w:r>
          </w:p>
        </w:tc>
        <w:tc>
          <w:tcPr>
            <w:tcW w:type="dxa" w:w="2041"/>
          </w:tcPr>
          <w:p>
            <w:pPr>
              <w:spacing w:after="40"/>
            </w:pPr>
            <w:r/>
            <w:r>
              <w:rPr>
                <w:b/>
                <w:color w:val="0F7B4F"/>
                <w:sz w:val="19"/>
              </w:rPr>
              <w:t>We do this</w:t>
            </w:r>
          </w:p>
        </w:tc>
        <w:tc>
          <w:tcPr>
            <w:tcW w:type="dxa" w:w="1587"/>
          </w:tcPr>
          <w:p>
            <w:pPr>
              <w:spacing w:after="40"/>
            </w:pPr>
            <w:r/>
            <w:r>
              <w:rPr>
                <w:b w:val="0"/>
                <w:sz w:val="19"/>
              </w:rPr>
              <w:t>[I]</w:t>
            </w:r>
          </w:p>
        </w:tc>
      </w:tr>
      <w:tr>
        <w:tc>
          <w:tcPr>
            <w:tcW w:type="dxa" w:w="3742"/>
          </w:tcPr>
          <w:p>
            <w:pPr>
              <w:spacing w:after="40"/>
            </w:pPr>
            <w:r/>
            <w:r>
              <w:rPr>
                <w:b w:val="0"/>
                <w:sz w:val="19"/>
              </w:rPr>
              <w:t>Uses leave-one-mix-out validation</w:t>
            </w:r>
          </w:p>
        </w:tc>
        <w:tc>
          <w:tcPr>
            <w:tcW w:type="dxa" w:w="1701"/>
          </w:tcPr>
          <w:p>
            <w:pPr>
              <w:spacing w:after="40"/>
            </w:pPr>
            <w:r/>
            <w:r>
              <w:rPr>
                <w:b w:val="0"/>
                <w:color w:val="B3261E"/>
                <w:sz w:val="19"/>
              </w:rPr>
              <w:t>6</w:t>
            </w:r>
          </w:p>
        </w:tc>
        <w:tc>
          <w:tcPr>
            <w:tcW w:type="dxa" w:w="2041"/>
          </w:tcPr>
          <w:p>
            <w:pPr>
              <w:spacing w:after="40"/>
            </w:pPr>
            <w:r/>
            <w:r>
              <w:rPr>
                <w:b/>
                <w:color w:val="0F7B4F"/>
                <w:sz w:val="19"/>
              </w:rPr>
              <w:t>We do this</w:t>
            </w:r>
          </w:p>
        </w:tc>
        <w:tc>
          <w:tcPr>
            <w:tcW w:type="dxa" w:w="1587"/>
          </w:tcPr>
          <w:p>
            <w:pPr>
              <w:spacing w:after="40"/>
            </w:pPr>
            <w:r/>
            <w:r>
              <w:rPr>
                <w:b w:val="0"/>
                <w:sz w:val="19"/>
              </w:rPr>
              <w:t>[I]</w:t>
            </w:r>
          </w:p>
        </w:tc>
      </w:tr>
      <w:tr>
        <w:tc>
          <w:tcPr>
            <w:tcW w:type="dxa" w:w="3742"/>
          </w:tcPr>
          <w:p>
            <w:pPr>
              <w:spacing w:after="40"/>
            </w:pPr>
            <w:r/>
            <w:r>
              <w:rPr>
                <w:b w:val="0"/>
                <w:sz w:val="19"/>
              </w:rPr>
              <w:t>Validated on Indian materials</w:t>
            </w:r>
          </w:p>
        </w:tc>
        <w:tc>
          <w:tcPr>
            <w:tcW w:type="dxa" w:w="1701"/>
          </w:tcPr>
          <w:p>
            <w:pPr>
              <w:spacing w:after="40"/>
            </w:pPr>
            <w:r/>
            <w:r>
              <w:rPr>
                <w:b w:val="0"/>
                <w:color w:val="B3261E"/>
                <w:sz w:val="19"/>
              </w:rPr>
              <w:t>15</w:t>
            </w:r>
          </w:p>
        </w:tc>
        <w:tc>
          <w:tcPr>
            <w:tcW w:type="dxa" w:w="2041"/>
          </w:tcPr>
          <w:p>
            <w:pPr>
              <w:spacing w:after="40"/>
            </w:pPr>
            <w:r/>
            <w:r>
              <w:rPr>
                <w:b/>
                <w:color w:val="0F7B4F"/>
                <w:sz w:val="19"/>
              </w:rPr>
              <w:t>We do this</w:t>
            </w:r>
          </w:p>
        </w:tc>
        <w:tc>
          <w:tcPr>
            <w:tcW w:type="dxa" w:w="1587"/>
          </w:tcPr>
          <w:p>
            <w:pPr>
              <w:spacing w:after="40"/>
            </w:pPr>
            <w:r/>
            <w:r>
              <w:rPr>
                <w:b w:val="0"/>
                <w:sz w:val="19"/>
              </w:rPr>
              <w:t>[I]</w:t>
            </w:r>
          </w:p>
        </w:tc>
      </w:tr>
    </w:tbl>
    <w:p>
      <w:pPr>
        <w:spacing w:after="60"/>
      </w:pPr>
    </w:p>
    <w:p>
      <w:pPr>
        <w:jc w:val="both"/>
      </w:pPr>
      <w:r>
        <w:rPr>
          <w:b w:val="0"/>
          <w:i/>
          <w:color w:val="5D6B7A"/>
          <w:sz w:val="18"/>
        </w:rPr>
        <w:t>Percentages are ULTRON's approximate assessment of the field, not a systematic review. Treat them as indicative. If you need defensible numbers, conduct a formal review of 50 papers and count — that itself makes a publishable short paper and takes about two weeks.</w:t>
      </w:r>
    </w:p>
    <w:p>
      <w:pPr>
        <w:jc w:val="center"/>
      </w:pPr>
      <w:r>
        <w:drawing>
          <wp:inline xmlns:a="http://schemas.openxmlformats.org/drawingml/2006/main" xmlns:pic="http://schemas.openxmlformats.org/drawingml/2006/picture">
            <wp:extent cx="5580000" cy="2695955"/>
            <wp:docPr id="8" name="Picture 8"/>
            <wp:cNvGraphicFramePr>
              <a:graphicFrameLocks noChangeAspect="1"/>
            </wp:cNvGraphicFramePr>
            <a:graphic>
              <a:graphicData uri="http://schemas.openxmlformats.org/drawingml/2006/picture">
                <pic:pic>
                  <pic:nvPicPr>
                    <pic:cNvPr id="0" name="fig5_research_gap.png"/>
                    <pic:cNvPicPr/>
                  </pic:nvPicPr>
                  <pic:blipFill>
                    <a:blip r:embed="rId16"/>
                    <a:stretch>
                      <a:fillRect/>
                    </a:stretch>
                  </pic:blipFill>
                  <pic:spPr>
                    <a:xfrm>
                      <a:off x="0" y="0"/>
                      <a:ext cx="5580000" cy="2695955"/>
                    </a:xfrm>
                    <a:prstGeom prst="rect"/>
                  </pic:spPr>
                </pic:pic>
              </a:graphicData>
            </a:graphic>
          </wp:inline>
        </w:drawing>
      </w:r>
    </w:p>
    <w:p>
      <w:pPr>
        <w:spacing w:after="200"/>
        <w:jc w:val="center"/>
      </w:pPr>
      <w:r>
        <w:rPr>
          <w:i/>
          <w:color w:val="5D6B7A"/>
          <w:sz w:val="17"/>
        </w:rPr>
        <w:t>Figure 8 — The research gap. The four items below 20% are the opportunity.</w:t>
      </w:r>
    </w:p>
    <w:tbl>
      <w:tblPr>
        <w:tblStyle w:val="TableGrid"/>
        <w:tblW w:type="auto" w:w="0"/>
        <w:tblLook w:firstColumn="1" w:firstRow="1" w:lastColumn="0" w:lastRow="0" w:noHBand="0" w:noVBand="1" w:val="04A0"/>
      </w:tblPr>
      <w:tblGrid>
        <w:gridCol w:w="9355"/>
      </w:tblGrid>
      <w:tr>
        <w:tc>
          <w:tcPr>
            <w:tcW w:type="dxa" w:w="9071"/>
            <w:shd w:val="clear" w:color="auto" w:fill="CDE6D8"/>
          </w:tcPr>
          <w:p>
            <w:pPr>
              <w:spacing w:after="60"/>
            </w:pPr>
            <w:r/>
            <w:r>
              <w:rPr>
                <w:b/>
                <w:color w:val="0F7B4F"/>
                <w:sz w:val="21"/>
              </w:rPr>
              <w:t>How to state your contribution in one sentence</w:t>
            </w:r>
          </w:p>
          <w:p>
            <w:pPr>
              <w:jc w:val="both"/>
            </w:pPr>
            <w:r>
              <w:rPr>
                <w:sz w:val="20"/>
              </w:rPr>
              <w:t>'Almost every published study predicts concrete strength; almost none report calibrated uncertainty, couple the prediction to the codal maturity method, validate by leaving whole mixes out, or test on Indian materials. This work does all four.' That sentence is your abstract, your viva answer, and your funding pitch.</w:t>
            </w:r>
          </w:p>
        </w:tc>
      </w:tr>
    </w:tbl>
    <w:p>
      <w:pPr>
        <w:spacing w:after="120"/>
      </w:pPr>
    </w:p>
    <w:tbl>
      <w:tblPr>
        <w:tblStyle w:val="TableGrid"/>
        <w:tblW w:type="auto" w:w="0"/>
        <w:tblLook w:firstColumn="1" w:firstRow="1" w:lastColumn="0" w:lastRow="0" w:noHBand="0" w:noVBand="1" w:val="04A0"/>
      </w:tblPr>
      <w:tblGrid>
        <w:gridCol w:w="9355"/>
      </w:tblGrid>
      <w:tr>
        <w:tc>
          <w:tcPr>
            <w:tcW w:type="dxa" w:w="9071"/>
            <w:shd w:val="clear" w:color="auto" w:fill="F4F7FB"/>
          </w:tcPr>
          <w:p>
            <w:pPr>
              <w:spacing w:after="80"/>
            </w:pPr>
            <w:r/>
            <w:r>
              <w:rPr>
                <w:b/>
                <w:color w:val="1F3B5C"/>
                <w:sz w:val="20"/>
              </w:rPr>
              <w:t>HOW TO MAKE THIS CHART IN MS EXCEL — Dataset 10 (Horizontal Bar, colour-coded)</w:t>
            </w:r>
          </w:p>
          <w:p>
            <w:pPr>
              <w:spacing w:after="40"/>
              <w:ind w:left="340"/>
              <w:jc w:val="both"/>
            </w:pPr>
            <w:r>
              <w:rPr>
                <w:b/>
                <w:sz w:val="19"/>
              </w:rPr>
              <w:t xml:space="preserve">1.  </w:t>
            </w:r>
            <w:r>
              <w:rPr>
                <w:sz w:val="19"/>
              </w:rPr>
              <w:t>Enter the six practices in A2:A7 and the percentages in B2:B7.</w:t>
            </w:r>
          </w:p>
          <w:p>
            <w:pPr>
              <w:spacing w:after="40"/>
              <w:ind w:left="340"/>
              <w:jc w:val="both"/>
            </w:pPr>
            <w:r>
              <w:rPr>
                <w:b/>
                <w:sz w:val="19"/>
              </w:rPr>
              <w:t xml:space="preserve">2.  </w:t>
            </w:r>
            <w:r>
              <w:rPr>
                <w:sz w:val="19"/>
              </w:rPr>
              <w:t>Select A1:B7 → Insert → Insert Column or Bar Chart → Clustered Bar.</w:t>
            </w:r>
          </w:p>
          <w:p>
            <w:pPr>
              <w:spacing w:after="40"/>
              <w:ind w:left="340"/>
              <w:jc w:val="both"/>
            </w:pPr>
            <w:r>
              <w:rPr>
                <w:b/>
                <w:sz w:val="19"/>
              </w:rPr>
              <w:t xml:space="preserve">3.  </w:t>
            </w:r>
            <w:r>
              <w:rPr>
                <w:sz w:val="19"/>
              </w:rPr>
              <w:t>Right-click the vertical axis → Format Axis → tick 'Categories in reverse order' so the list reads top to bottom in the order you typed it.</w:t>
            </w:r>
          </w:p>
          <w:p>
            <w:pPr>
              <w:spacing w:after="40"/>
              <w:ind w:left="340"/>
              <w:jc w:val="both"/>
            </w:pPr>
            <w:r>
              <w:rPr>
                <w:b/>
                <w:sz w:val="19"/>
              </w:rPr>
              <w:t xml:space="preserve">4.  </w:t>
            </w:r>
            <w:r>
              <w:rPr>
                <w:sz w:val="19"/>
              </w:rPr>
              <w:t>Set the horizontal axis maximum to 100: right-click it → Format Axis → Maximum = 100.</w:t>
            </w:r>
          </w:p>
          <w:p>
            <w:pPr>
              <w:spacing w:after="40"/>
              <w:ind w:left="340"/>
              <w:jc w:val="both"/>
            </w:pPr>
            <w:r>
              <w:rPr>
                <w:b/>
                <w:sz w:val="19"/>
              </w:rPr>
              <w:t xml:space="preserve">5.  </w:t>
            </w:r>
            <w:r>
              <w:rPr>
                <w:sz w:val="19"/>
              </w:rPr>
              <w:t>Colour by value: click one bar twice (slowly) to select just that bar, then Format Data Point → Fill. Make everything above 50% light blue and everything below 50% red.</w:t>
            </w:r>
          </w:p>
          <w:p>
            <w:pPr>
              <w:spacing w:after="40"/>
              <w:ind w:left="340"/>
              <w:jc w:val="both"/>
            </w:pPr>
            <w:r>
              <w:rPr>
                <w:b/>
                <w:sz w:val="19"/>
              </w:rPr>
              <w:t xml:space="preserve">6.  </w:t>
            </w:r>
            <w:r>
              <w:rPr>
                <w:sz w:val="19"/>
              </w:rPr>
              <w:t>Click + → Data Labels → Outside End.</w:t>
            </w:r>
          </w:p>
          <w:p>
            <w:pPr>
              <w:spacing w:after="40"/>
              <w:ind w:left="340"/>
              <w:jc w:val="both"/>
            </w:pPr>
            <w:r>
              <w:rPr>
                <w:b/>
                <w:sz w:val="19"/>
              </w:rPr>
              <w:t xml:space="preserve">7.  </w:t>
            </w:r>
            <w:r>
              <w:rPr>
                <w:sz w:val="19"/>
              </w:rPr>
              <w:t>Add a text box near the red bars reading 'the opportunity'.</w:t>
            </w:r>
          </w:p>
        </w:tc>
      </w:tr>
    </w:tbl>
    <w:p>
      <w:pPr>
        <w:spacing w:after="160"/>
      </w:pPr>
    </w:p>
    <w:p>
      <w:r>
        <w:br w:type="page"/>
      </w:r>
    </w:p>
    <w:p>
      <w:pPr>
        <w:pStyle w:val="Heading1"/>
      </w:pPr>
      <w:r>
        <w:t>PART F — PUBLIC DATASETS YOU CAN DOWNLOAD TODAY</w:t>
      </w:r>
    </w:p>
    <w:p>
      <w:pPr>
        <w:jc w:val="both"/>
      </w:pPr>
      <w:r>
        <w:rPr>
          <w:b w:val="0"/>
          <w:i w:val="0"/>
        </w:rPr>
        <w:t>Work begins in week one. No permission, no fees, no waiting.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154"/>
            <w:shd w:val="clear" w:color="auto" w:fill="1F3B5C"/>
          </w:tcPr>
          <w:p>
            <w:pPr>
              <w:jc w:val="center"/>
            </w:pPr>
            <w:r/>
            <w:r>
              <w:rPr>
                <w:b/>
                <w:color w:val="FFFFFF"/>
                <w:sz w:val="18"/>
              </w:rPr>
              <w:t>Dataset</w:t>
            </w:r>
          </w:p>
        </w:tc>
        <w:tc>
          <w:tcPr>
            <w:tcW w:type="dxa" w:w="3175"/>
            <w:shd w:val="clear" w:color="auto" w:fill="1F3B5C"/>
          </w:tcPr>
          <w:p>
            <w:pPr>
              <w:jc w:val="center"/>
            </w:pPr>
            <w:r/>
            <w:r>
              <w:rPr>
                <w:b/>
                <w:color w:val="FFFFFF"/>
                <w:sz w:val="18"/>
              </w:rPr>
              <w:t>Contents</w:t>
            </w:r>
          </w:p>
        </w:tc>
        <w:tc>
          <w:tcPr>
            <w:tcW w:type="dxa" w:w="1928"/>
            <w:shd w:val="clear" w:color="auto" w:fill="1F3B5C"/>
          </w:tcPr>
          <w:p>
            <w:pPr>
              <w:jc w:val="center"/>
            </w:pPr>
            <w:r/>
            <w:r>
              <w:rPr>
                <w:b/>
                <w:color w:val="FFFFFF"/>
                <w:sz w:val="18"/>
              </w:rPr>
              <w:t>Use for</w:t>
            </w:r>
          </w:p>
        </w:tc>
        <w:tc>
          <w:tcPr>
            <w:tcW w:type="dxa" w:w="1814"/>
            <w:shd w:val="clear" w:color="auto" w:fill="1F3B5C"/>
          </w:tcPr>
          <w:p>
            <w:pPr>
              <w:jc w:val="center"/>
            </w:pPr>
            <w:r/>
            <w:r>
              <w:rPr>
                <w:b/>
                <w:color w:val="FFFFFF"/>
                <w:sz w:val="18"/>
              </w:rPr>
              <w:t>Access</w:t>
            </w:r>
          </w:p>
        </w:tc>
      </w:tr>
      <w:tr>
        <w:tc>
          <w:tcPr>
            <w:tcW w:type="dxa" w:w="2154"/>
          </w:tcPr>
          <w:p>
            <w:pPr>
              <w:spacing w:after="40"/>
            </w:pPr>
            <w:r/>
            <w:r>
              <w:rPr>
                <w:b/>
                <w:sz w:val="18"/>
              </w:rPr>
              <w:t>UCI Concrete Compressive Strength</w:t>
            </w:r>
          </w:p>
        </w:tc>
        <w:tc>
          <w:tcPr>
            <w:tcW w:type="dxa" w:w="3175"/>
          </w:tcPr>
          <w:p>
            <w:pPr>
              <w:spacing w:after="40"/>
            </w:pPr>
            <w:r/>
            <w:r>
              <w:rPr>
                <w:b w:val="0"/>
                <w:sz w:val="18"/>
              </w:rPr>
              <w:t>1,030 records; 8 inputs (cement, slag, fly ash, water, superplasticiser, coarse and fine aggregate, age); target = compressive strength</w:t>
            </w:r>
          </w:p>
        </w:tc>
        <w:tc>
          <w:tcPr>
            <w:tcW w:type="dxa" w:w="1928"/>
          </w:tcPr>
          <w:p>
            <w:pPr>
              <w:spacing w:after="40"/>
            </w:pPr>
            <w:r/>
            <w:r>
              <w:rPr>
                <w:b w:val="0"/>
                <w:sz w:val="18"/>
              </w:rPr>
              <w:t>C1 baseline, C4 SCM modelling</w:t>
            </w:r>
          </w:p>
        </w:tc>
        <w:tc>
          <w:tcPr>
            <w:tcW w:type="dxa" w:w="1814"/>
          </w:tcPr>
          <w:p>
            <w:pPr>
              <w:spacing w:after="40"/>
            </w:pPr>
            <w:r/>
            <w:r>
              <w:rPr>
                <w:b w:val="0"/>
                <w:sz w:val="18"/>
              </w:rPr>
              <w:t>archive.ics.uci.edu, dataset 165 — free</w:t>
            </w:r>
          </w:p>
        </w:tc>
      </w:tr>
      <w:tr>
        <w:tc>
          <w:tcPr>
            <w:tcW w:type="dxa" w:w="2154"/>
          </w:tcPr>
          <w:p>
            <w:pPr>
              <w:spacing w:after="40"/>
            </w:pPr>
            <w:r/>
            <w:r>
              <w:rPr>
                <w:b/>
                <w:sz w:val="18"/>
              </w:rPr>
              <w:t>BOxCrete open dataset (2026)</w:t>
            </w:r>
          </w:p>
        </w:tc>
        <w:tc>
          <w:tcPr>
            <w:tcW w:type="dxa" w:w="3175"/>
          </w:tcPr>
          <w:p>
            <w:pPr>
              <w:spacing w:after="40"/>
            </w:pPr>
            <w:r/>
            <w:r>
              <w:rPr>
                <w:b w:val="0"/>
                <w:sz w:val="18"/>
              </w:rPr>
              <w:t>533 strength measurements from 123 mixes (69 mortar, 54 concrete) at five curing ages: 1, 3, 5, 14 and 28 days; systematic w/b and SCM variation</w:t>
            </w:r>
          </w:p>
        </w:tc>
        <w:tc>
          <w:tcPr>
            <w:tcW w:type="dxa" w:w="1928"/>
          </w:tcPr>
          <w:p>
            <w:pPr>
              <w:spacing w:after="40"/>
            </w:pPr>
            <w:r/>
            <w:r>
              <w:rPr>
                <w:b/>
                <w:sz w:val="18"/>
              </w:rPr>
              <w:t>C1 — purpose-built for early-age prediction</w:t>
            </w:r>
          </w:p>
        </w:tc>
        <w:tc>
          <w:tcPr>
            <w:tcW w:type="dxa" w:w="1814"/>
          </w:tcPr>
          <w:p>
            <w:pPr>
              <w:spacing w:after="40"/>
            </w:pPr>
            <w:r/>
            <w:r>
              <w:rPr>
                <w:b w:val="0"/>
                <w:sz w:val="18"/>
              </w:rPr>
              <w:t>Open access, released with the BOxCrete paper</w:t>
            </w:r>
          </w:p>
        </w:tc>
      </w:tr>
      <w:tr>
        <w:tc>
          <w:tcPr>
            <w:tcW w:type="dxa" w:w="2154"/>
          </w:tcPr>
          <w:p>
            <w:pPr>
              <w:spacing w:after="40"/>
            </w:pPr>
            <w:r/>
            <w:r>
              <w:rPr>
                <w:b/>
                <w:sz w:val="18"/>
              </w:rPr>
              <w:t>Carbonation benchmark dataset (2025)</w:t>
            </w:r>
          </w:p>
        </w:tc>
        <w:tc>
          <w:tcPr>
            <w:tcW w:type="dxa" w:w="3175"/>
          </w:tcPr>
          <w:p>
            <w:pPr>
              <w:spacing w:after="40"/>
            </w:pPr>
            <w:r/>
            <w:r>
              <w:rPr>
                <w:b w:val="0"/>
                <w:sz w:val="18"/>
              </w:rPr>
              <w:t>20,000 synthetic instances generated from the validated Possan equation</w:t>
            </w:r>
          </w:p>
        </w:tc>
        <w:tc>
          <w:tcPr>
            <w:tcW w:type="dxa" w:w="1928"/>
          </w:tcPr>
          <w:p>
            <w:pPr>
              <w:spacing w:after="40"/>
            </w:pPr>
            <w:r/>
            <w:r>
              <w:rPr>
                <w:b w:val="0"/>
                <w:sz w:val="18"/>
              </w:rPr>
              <w:t>Durability modelling; useful reference for method development</w:t>
            </w:r>
          </w:p>
        </w:tc>
        <w:tc>
          <w:tcPr>
            <w:tcW w:type="dxa" w:w="1814"/>
          </w:tcPr>
          <w:p>
            <w:pPr>
              <w:spacing w:after="40"/>
            </w:pPr>
            <w:r/>
            <w:r>
              <w:rPr>
                <w:b w:val="0"/>
                <w:sz w:val="18"/>
              </w:rPr>
              <w:t>carbuai.pythonanywhere.com — open</w:t>
            </w:r>
          </w:p>
        </w:tc>
      </w:tr>
      <w:tr>
        <w:tc>
          <w:tcPr>
            <w:tcW w:type="dxa" w:w="2154"/>
          </w:tcPr>
          <w:p>
            <w:pPr>
              <w:spacing w:after="40"/>
            </w:pPr>
            <w:r/>
            <w:r>
              <w:rPr>
                <w:b/>
                <w:sz w:val="18"/>
              </w:rPr>
              <w:t>Your own laboratory</w:t>
            </w:r>
          </w:p>
        </w:tc>
        <w:tc>
          <w:tcPr>
            <w:tcW w:type="dxa" w:w="3175"/>
          </w:tcPr>
          <w:p>
            <w:pPr>
              <w:spacing w:after="40"/>
            </w:pPr>
            <w:r/>
            <w:r>
              <w:rPr>
                <w:b w:val="0"/>
                <w:sz w:val="18"/>
              </w:rPr>
              <w:t>40–60 mixes × 5 ages; slump videos from the same batches</w:t>
            </w:r>
          </w:p>
        </w:tc>
        <w:tc>
          <w:tcPr>
            <w:tcW w:type="dxa" w:w="1928"/>
          </w:tcPr>
          <w:p>
            <w:pPr>
              <w:spacing w:after="40"/>
            </w:pPr>
            <w:r/>
            <w:r>
              <w:rPr>
                <w:b w:val="0"/>
                <w:sz w:val="18"/>
              </w:rPr>
              <w:t>C1 validation, C4 ternary blends, C5 entire dataset</w:t>
            </w:r>
          </w:p>
        </w:tc>
        <w:tc>
          <w:tcPr>
            <w:tcW w:type="dxa" w:w="1814"/>
          </w:tcPr>
          <w:p>
            <w:pPr>
              <w:spacing w:after="40"/>
            </w:pPr>
            <w:r/>
            <w:r>
              <w:rPr>
                <w:b w:val="0"/>
                <w:sz w:val="18"/>
              </w:rPr>
              <w:t>IIT Bhubaneswar concrete laboratory</w:t>
            </w:r>
          </w:p>
        </w:tc>
      </w:tr>
    </w:tbl>
    <w:p>
      <w:pPr>
        <w:spacing w:after="60"/>
      </w:pPr>
    </w:p>
    <w:tbl>
      <w:tblPr>
        <w:tblStyle w:val="TableGrid"/>
        <w:tblW w:type="auto" w:w="0"/>
        <w:tblLook w:firstColumn="1" w:firstRow="1" w:lastColumn="0" w:lastRow="0" w:noHBand="0" w:noVBand="1" w:val="04A0"/>
      </w:tblPr>
      <w:tblGrid>
        <w:gridCol w:w="9355"/>
      </w:tblGrid>
      <w:tr>
        <w:tc>
          <w:tcPr>
            <w:tcW w:type="dxa" w:w="9071"/>
            <w:shd w:val="clear" w:color="auto" w:fill="CDE6D8"/>
          </w:tcPr>
          <w:p>
            <w:pPr>
              <w:spacing w:after="60"/>
            </w:pPr>
            <w:r/>
            <w:r>
              <w:rPr>
                <w:b/>
                <w:color w:val="0F7B4F"/>
                <w:sz w:val="21"/>
              </w:rPr>
              <w:t>The shared-batch efficiency, once more</w:t>
            </w:r>
          </w:p>
          <w:p>
            <w:pPr>
              <w:jc w:val="both"/>
            </w:pPr>
            <w:r>
              <w:rPr>
                <w:sz w:val="20"/>
              </w:rPr>
              <w:t>Every batch cast for C1 should first be slump-tested on video for C5, and where the mix design permits, should form part of the C4 ternary blend matrix. One laboratory programme feeds three projects. Plan the mix matrix jointly, before the first batch, and the six-month deadline becomes comfortable rather than tight.</w:t>
            </w:r>
          </w:p>
        </w:tc>
      </w:tr>
    </w:tbl>
    <w:p>
      <w:pPr>
        <w:spacing w:after="120"/>
      </w:pPr>
    </w:p>
    <w:p>
      <w:r>
        <w:br w:type="page"/>
      </w:r>
    </w:p>
    <w:p>
      <w:pPr>
        <w:pStyle w:val="Heading1"/>
      </w:pPr>
      <w:r>
        <w:t>PART G — SOURCE LIST</w:t>
      </w:r>
    </w:p>
    <w:p>
      <w:pPr>
        <w:spacing w:after="80"/>
        <w:ind w:left="510" w:hanging="510"/>
        <w:jc w:val="both"/>
      </w:pPr>
      <w:r>
        <w:rPr>
          <w:b/>
          <w:sz w:val="18"/>
        </w:rPr>
        <w:t xml:space="preserve">[1]  </w:t>
      </w:r>
      <w:r>
        <w:rPr>
          <w:sz w:val="18"/>
        </w:rPr>
        <w:t>NBM&amp;CW — 'A Framework for Development of Quality Control Model for Indian Ready Mixed Concrete Industry'. Source of plant standard deviation (1.92–6.57 MPa) and coefficient of variation (0.068–0.131) across four Indian RMC plants.</w:t>
      </w:r>
    </w:p>
    <w:p>
      <w:pPr>
        <w:spacing w:after="80"/>
        <w:ind w:left="510" w:hanging="510"/>
        <w:jc w:val="both"/>
      </w:pPr>
      <w:r>
        <w:rPr>
          <w:b/>
          <w:sz w:val="18"/>
        </w:rPr>
        <w:t xml:space="preserve">[2]  </w:t>
      </w:r>
      <w:r>
        <w:rPr>
          <w:sz w:val="18"/>
        </w:rPr>
        <w:t>Construction Times, September 2025 — 'The rise of ready-mix concrete in India'. Source of the 20–30% rework figure, 15% cost increase, ±20 mm manual batching slump variation, 15–20% strength loss from poor aggregates, 60% BIS compliance among small plants, 20% trained workers, 30% contractor awareness.</w:t>
      </w:r>
    </w:p>
    <w:p>
      <w:pPr>
        <w:spacing w:after="80"/>
        <w:ind w:left="510" w:hanging="510"/>
        <w:jc w:val="both"/>
      </w:pPr>
      <w:r>
        <w:rPr>
          <w:b/>
          <w:sz w:val="18"/>
        </w:rPr>
        <w:t xml:space="preserve">[3]  </w:t>
      </w:r>
      <w:r>
        <w:rPr>
          <w:sz w:val="18"/>
        </w:rPr>
        <w:t>IS 456:2000 — Plain and Reinforced Concrete, Code of Practice. Target mean strength relationship, cl. 8.2.4.1.</w:t>
      </w:r>
    </w:p>
    <w:p>
      <w:pPr>
        <w:spacing w:after="80"/>
        <w:ind w:left="510" w:hanging="510"/>
        <w:jc w:val="both"/>
      </w:pPr>
      <w:r>
        <w:rPr>
          <w:b/>
          <w:sz w:val="18"/>
        </w:rPr>
        <w:t xml:space="preserve">[4]  </w:t>
      </w:r>
      <w:r>
        <w:rPr>
          <w:sz w:val="18"/>
        </w:rPr>
        <w:t>IS 10262:2019 — Concrete Mix Proportioning, Guidelines.</w:t>
      </w:r>
    </w:p>
    <w:p>
      <w:pPr>
        <w:spacing w:after="80"/>
        <w:ind w:left="510" w:hanging="510"/>
        <w:jc w:val="both"/>
      </w:pPr>
      <w:r>
        <w:rPr>
          <w:b/>
          <w:sz w:val="18"/>
        </w:rPr>
        <w:t xml:space="preserve">[5]  </w:t>
      </w:r>
      <w:r>
        <w:rPr>
          <w:sz w:val="18"/>
        </w:rPr>
        <w:t>IS 516 — Methods of Tests for Strength of Concrete.</w:t>
      </w:r>
    </w:p>
    <w:p>
      <w:pPr>
        <w:spacing w:after="80"/>
        <w:ind w:left="510" w:hanging="510"/>
        <w:jc w:val="both"/>
      </w:pPr>
      <w:r>
        <w:rPr>
          <w:b/>
          <w:sz w:val="18"/>
        </w:rPr>
        <w:t xml:space="preserve">[6]  </w:t>
      </w:r>
      <w:r>
        <w:rPr>
          <w:sz w:val="18"/>
        </w:rPr>
        <w:t>IS 1199 — Fresh Concrete, Methods of Sampling, Testing and Analysis.</w:t>
      </w:r>
    </w:p>
    <w:p>
      <w:pPr>
        <w:spacing w:after="80"/>
        <w:ind w:left="510" w:hanging="510"/>
        <w:jc w:val="both"/>
      </w:pPr>
      <w:r>
        <w:rPr>
          <w:b/>
          <w:sz w:val="18"/>
        </w:rPr>
        <w:t xml:space="preserve">[7]  </w:t>
      </w:r>
      <w:r>
        <w:rPr>
          <w:sz w:val="18"/>
        </w:rPr>
        <w:t>UCI Machine Learning Repository — Concrete Compressive Strength dataset (I-Cheng Yeh), 1,030 instances.</w:t>
      </w:r>
    </w:p>
    <w:p>
      <w:pPr>
        <w:spacing w:after="80"/>
        <w:ind w:left="510" w:hanging="510"/>
        <w:jc w:val="both"/>
      </w:pPr>
      <w:r>
        <w:rPr>
          <w:b/>
          <w:sz w:val="18"/>
        </w:rPr>
        <w:t xml:space="preserve">[8]  </w:t>
      </w:r>
      <w:r>
        <w:rPr>
          <w:sz w:val="18"/>
        </w:rPr>
        <w:t>BOxCrete (2026) — 'A Bayesian Optimization Open-Source AI Model for concrete', arXiv. Open dataset of 533 strength measurements from 123 mixes at five ages.</w:t>
      </w:r>
    </w:p>
    <w:p>
      <w:pPr>
        <w:spacing w:after="80"/>
        <w:ind w:left="510" w:hanging="510"/>
        <w:jc w:val="both"/>
      </w:pPr>
      <w:r>
        <w:rPr>
          <w:b/>
          <w:sz w:val="18"/>
        </w:rPr>
        <w:t xml:space="preserve">[9]  </w:t>
      </w:r>
      <w:r>
        <w:rPr>
          <w:sz w:val="18"/>
        </w:rPr>
        <w:t>Modelling (MDPI), June 2025 — 'Machine Learning Models for Carbonation Depth Prediction'. Source of the 20,000-instance open carbonation benchmark.</w:t>
      </w:r>
    </w:p>
    <w:p>
      <w:pPr>
        <w:spacing w:after="80"/>
        <w:ind w:left="510" w:hanging="510"/>
        <w:jc w:val="both"/>
      </w:pPr>
      <w:r>
        <w:rPr>
          <w:b/>
          <w:sz w:val="18"/>
        </w:rPr>
        <w:t xml:space="preserve">[10]  </w:t>
      </w:r>
      <w:r>
        <w:rPr>
          <w:sz w:val="18"/>
        </w:rPr>
        <w:t>Nature Scientific Reports, 2025 — geopolymer concrete cost and embodied energy study. Source of the 54% activator cost share and the +25% cost premium with alkalis hauled 300 km.</w:t>
      </w:r>
    </w:p>
    <w:p>
      <w:pPr>
        <w:spacing w:after="80"/>
        <w:ind w:left="510" w:hanging="510"/>
        <w:jc w:val="both"/>
      </w:pPr>
      <w:r>
        <w:rPr>
          <w:b/>
          <w:sz w:val="18"/>
        </w:rPr>
        <w:t xml:space="preserve">[11]  </w:t>
      </w:r>
      <w:r>
        <w:rPr>
          <w:sz w:val="18"/>
        </w:rPr>
        <w:t>Journal of Umm Al-Qura University for Engineering and Architecture, 2025 — geopolymer cost saving of 21.89%.</w:t>
      </w:r>
    </w:p>
    <w:p>
      <w:pPr>
        <w:spacing w:after="80"/>
        <w:ind w:left="510" w:hanging="510"/>
        <w:jc w:val="both"/>
      </w:pPr>
      <w:r>
        <w:rPr>
          <w:b/>
          <w:sz w:val="18"/>
        </w:rPr>
        <w:t xml:space="preserve">[12]  </w:t>
      </w:r>
      <w:r>
        <w:rPr>
          <w:sz w:val="18"/>
        </w:rPr>
        <w:t>Frontiers in Materials, 2023 — geopolymer for thin white-topping pavement, 7–8% cost saving.</w:t>
      </w:r>
    </w:p>
    <w:p>
      <w:pPr>
        <w:spacing w:after="80"/>
        <w:ind w:left="510" w:hanging="510"/>
        <w:jc w:val="both"/>
      </w:pPr>
      <w:r>
        <w:rPr>
          <w:b/>
          <w:sz w:val="18"/>
        </w:rPr>
        <w:t xml:space="preserve">[13]  </w:t>
      </w:r>
      <w:r>
        <w:rPr>
          <w:sz w:val="18"/>
        </w:rPr>
        <w:t>Wiley, 2022 — experimental analysis of geopolymer concrete, up to 40% cost reduction at bulk level.</w:t>
      </w:r>
    </w:p>
    <w:p>
      <w:pPr>
        <w:spacing w:after="80"/>
        <w:ind w:left="510" w:hanging="510"/>
        <w:jc w:val="both"/>
      </w:pPr>
      <w:r>
        <w:rPr>
          <w:b/>
          <w:sz w:val="18"/>
        </w:rPr>
        <w:t xml:space="preserve">[14]  </w:t>
      </w:r>
      <w:r>
        <w:rPr>
          <w:sz w:val="18"/>
        </w:rPr>
        <w:t>ScienceDirect, 2024 — CO₂ and cost comparison; slag-based geopolymer 8–60% dearer than OPC concrete.</w:t>
      </w:r>
    </w:p>
    <w:p>
      <w:pPr>
        <w:spacing w:after="80"/>
        <w:ind w:left="510" w:hanging="510"/>
        <w:jc w:val="both"/>
      </w:pPr>
      <w:r>
        <w:rPr>
          <w:b/>
          <w:sz w:val="18"/>
        </w:rPr>
        <w:t xml:space="preserve">[15]  </w:t>
      </w:r>
      <w:r>
        <w:rPr>
          <w:sz w:val="18"/>
        </w:rPr>
        <w:t>Procurement Resource, Q1 2026 — fly ash price trends; India utilisation rate approximately 96%.</w:t>
      </w:r>
    </w:p>
    <w:p>
      <w:pPr>
        <w:spacing w:after="80"/>
        <w:ind w:left="510" w:hanging="510"/>
        <w:jc w:val="both"/>
      </w:pPr>
      <w:r>
        <w:rPr>
          <w:b/>
          <w:sz w:val="18"/>
        </w:rPr>
        <w:t xml:space="preserve">[16]  </w:t>
      </w:r>
      <w:r>
        <w:rPr>
          <w:sz w:val="18"/>
        </w:rPr>
        <w:t>market.us — global fly ash market report; EU coal phase-out and supply decline.</w:t>
      </w:r>
    </w:p>
    <w:p/>
    <w:tbl>
      <w:tblPr>
        <w:tblStyle w:val="TableGrid"/>
        <w:tblW w:type="auto" w:w="0"/>
        <w:tblLook w:firstColumn="1" w:firstRow="1" w:lastColumn="0" w:lastRow="0" w:noHBand="0" w:noVBand="1" w:val="04A0"/>
      </w:tblPr>
      <w:tblGrid>
        <w:gridCol w:w="9355"/>
      </w:tblGrid>
      <w:tr>
        <w:tc>
          <w:tcPr>
            <w:tcW w:type="dxa" w:w="9071"/>
            <w:shd w:val="clear" w:color="auto" w:fill="FFF8E1"/>
          </w:tcPr>
          <w:p>
            <w:pPr>
              <w:spacing w:after="60"/>
            </w:pPr>
            <w:r/>
            <w:r>
              <w:rPr>
                <w:b/>
                <w:color w:val="B8860B"/>
                <w:sz w:val="21"/>
              </w:rPr>
              <w:t>A closing note on honesty in data</w:t>
            </w:r>
          </w:p>
          <w:p>
            <w:pPr>
              <w:jc w:val="both"/>
            </w:pPr>
            <w:r>
              <w:rPr>
                <w:sz w:val="20"/>
              </w:rPr>
              <w:t>Several tables in this document are marked [I] for illustrative. They show the shape of a problem so that you can see it clearly, but they are not evidence and must never be cited as findings. Replacing each [I] with a measured or surveyed value is not extra work at the edges of the project — it IS the project. A paper built on illustrative numbers will not survive review; one that replaces them with real measurements is a contribution.</w:t>
            </w:r>
          </w:p>
        </w:tc>
      </w:tr>
    </w:tbl>
    <w:p>
      <w:pPr>
        <w:spacing w:after="120"/>
      </w:pPr>
    </w:p>
    <w:sectPr w:rsidR="00FC693F" w:rsidRPr="0006063C" w:rsidSect="00034616">
      <w:footerReference w:type="default" r:id="rId17"/>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6"/>
      </w:rPr>
      <w:t xml:space="preserve">Industry Issues and Research Gaps — C1, C4, C5   |   Page </w:t>
    </w:r>
    <w:r>
      <w:rPr>
        <w:color w:val="5D6B7A"/>
        <w:sz w:val="16"/>
      </w:rPr>
      <w:fldChar w:fldCharType="begin"/>
      <w:instrText xml:space="preserve">PAGE</w:instrText>
      <w:fldChar w:fldCharType="separate"/>
      <w:fldChar w:fldCharType="end"/>
    </w:r>
    <w:r>
      <w:rPr>
        <w:color w:val="5D6B7A"/>
        <w:sz w:val="16"/>
      </w:rPr>
      <w:t xml:space="preserve"> of </w:t>
    </w:r>
    <w:r>
      <w:rPr>
        <w:color w:val="5D6B7A"/>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F3B5C"/>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F3B5C"/>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1620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