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b/>
          <w:i w:val="0"/>
          <w:sz w:val="24"/>
        </w:rPr>
        <w:t>REFERENCE SECTION — APA 7th EDITION</w:t>
      </w:r>
    </w:p>
    <w:p>
      <w:pPr>
        <w:spacing w:line="276" w:lineRule="auto" w:after="280"/>
        <w:jc w:val="center"/>
      </w:pPr>
      <w:r>
        <w:rPr>
          <w:b w:val="0"/>
          <w:i/>
          <w:sz w:val="20"/>
        </w:rPr>
        <w:t>For insertion into: C1_C4_C5_Methodology_Explained.docx</w:t>
      </w:r>
    </w:p>
    <w:tbl>
      <w:tblPr>
        <w:tblStyle w:val="TableGrid"/>
        <w:tblW w:type="auto" w:w="0"/>
        <w:tblLook w:firstColumn="1" w:firstRow="1" w:lastColumn="0" w:lastRow="0" w:noHBand="0" w:noVBand="1" w:val="04A0"/>
      </w:tblPr>
      <w:tblGrid>
        <w:gridCol w:w="9026"/>
      </w:tblGrid>
      <w:tr>
        <w:tc>
          <w:tcPr>
            <w:tcW w:type="dxa" w:w="9071"/>
            <w:shd w:val="clear" w:color="auto" w:fill="E8F0F9"/>
          </w:tcPr>
          <w:p>
            <w:pPr>
              <w:spacing w:after="60" w:line="264" w:lineRule="auto"/>
            </w:pPr>
            <w:r/>
            <w:r>
              <w:rPr>
                <w:b/>
                <w:color w:val="1F3B5C"/>
                <w:sz w:val="21"/>
              </w:rPr>
              <w:t>How to use this file</w:t>
            </w:r>
          </w:p>
          <w:p>
            <w:pPr>
              <w:spacing w:line="276" w:lineRule="auto"/>
              <w:jc w:val="both"/>
            </w:pPr>
            <w:r>
              <w:rPr>
                <w:sz w:val="20"/>
              </w:rPr>
              <w:t>Copy everything under the heading 'References' on the next page and paste it at the end of your methodology document. The entries are already formatted in APA 7th edition style: alphabetical by author, double-spaced, with a hanging indent of 1.27 cm. Section 3 lists the in-text citations to insert at the matching places in your text. Section 4 is a checklist of the few entries where you must confirm a detail before submission.</w:t>
            </w:r>
          </w:p>
        </w:tc>
      </w:tr>
    </w:tbl>
    <w:p>
      <w:pPr>
        <w:spacing w:after="120"/>
      </w:pPr>
    </w:p>
    <w:tbl>
      <w:tblPr>
        <w:tblStyle w:val="TableGrid"/>
        <w:tblW w:type="auto" w:w="0"/>
        <w:tblLook w:firstColumn="1" w:firstRow="1" w:lastColumn="0" w:lastRow="0" w:noHBand="0" w:noVBand="1" w:val="04A0"/>
      </w:tblPr>
      <w:tblGrid>
        <w:gridCol w:w="9026"/>
      </w:tblGrid>
      <w:tr>
        <w:tc>
          <w:tcPr>
            <w:tcW w:type="dxa" w:w="9071"/>
            <w:shd w:val="clear" w:color="auto" w:fill="FFF8E1"/>
          </w:tcPr>
          <w:p>
            <w:pPr>
              <w:spacing w:after="60" w:line="264" w:lineRule="auto"/>
            </w:pPr>
            <w:r/>
            <w:r>
              <w:rPr>
                <w:b/>
                <w:color w:val="B8860B"/>
                <w:sz w:val="21"/>
              </w:rPr>
              <w:t>Read this before submitting</w:t>
            </w:r>
          </w:p>
          <w:p>
            <w:pPr>
              <w:spacing w:line="276" w:lineRule="auto"/>
              <w:jc w:val="both"/>
            </w:pPr>
            <w:r>
              <w:rPr>
                <w:sz w:val="20"/>
              </w:rPr>
              <w:t>Some entries are marked PARTIAL in the checklist in Section 4. For these I have confirmed that the source exists and what it says, but I do not have every bibliographic field (volume, issue, page range or DOI). Those fields are shown in square brackets. Open the source, fill in the bracketed values, and delete the brackets. Do not submit with brackets remaining — an examiner will notice immediately. This is normal practice; it is not a defect in the reference list.</w:t>
            </w:r>
          </w:p>
        </w:tc>
      </w:tr>
    </w:tbl>
    <w:p>
      <w:pPr>
        <w:spacing w:after="120"/>
      </w:pPr>
    </w:p>
    <w:p>
      <w:r>
        <w:br w:type="page"/>
      </w:r>
    </w:p>
    <w:p>
      <w:pPr>
        <w:spacing w:line="480" w:lineRule="auto" w:after="200"/>
        <w:jc w:val="center"/>
      </w:pPr>
      <w:r>
        <w:rPr>
          <w:b/>
          <w:i w:val="0"/>
          <w:sz w:val="24"/>
        </w:rPr>
        <w:t>References</w:t>
      </w:r>
    </w:p>
    <w:p>
      <w:pPr>
        <w:spacing w:after="0" w:line="480" w:lineRule="auto"/>
        <w:ind w:left="720" w:hanging="720"/>
        <w:jc w:val="left"/>
      </w:pPr>
      <w:r>
        <w:rPr>
          <w:i w:val="0"/>
          <w:sz w:val="24"/>
        </w:rPr>
        <w:t xml:space="preserve">Abrams, D. A. (1918). </w:t>
      </w:r>
      <w:r>
        <w:rPr>
          <w:i/>
          <w:sz w:val="24"/>
        </w:rPr>
        <w:t>Design of concrete mixtures</w:t>
      </w:r>
      <w:r>
        <w:rPr>
          <w:i w:val="0"/>
          <w:sz w:val="24"/>
        </w:rPr>
        <w:t xml:space="preserve"> (Bulletin No. 1). Structural Materials Research Laboratory, Lewis Institute.</w:t>
      </w:r>
    </w:p>
    <w:p>
      <w:pPr>
        <w:spacing w:after="0" w:line="480" w:lineRule="auto"/>
        <w:ind w:left="720" w:hanging="720"/>
        <w:jc w:val="left"/>
      </w:pPr>
      <w:r>
        <w:rPr>
          <w:i w:val="0"/>
          <w:sz w:val="24"/>
        </w:rPr>
        <w:t xml:space="preserve">ASTM International. (2019). </w:t>
      </w:r>
      <w:r>
        <w:rPr>
          <w:i/>
          <w:sz w:val="24"/>
        </w:rPr>
        <w:t>Standard practice for estimating concrete strength by the maturity method</w:t>
      </w:r>
      <w:r>
        <w:rPr>
          <w:i w:val="0"/>
          <w:sz w:val="24"/>
        </w:rPr>
        <w:t xml:space="preserve"> (ASTM C1074-19). https://doi.org/10.1520/C1074-19</w:t>
      </w:r>
    </w:p>
    <w:p>
      <w:pPr>
        <w:spacing w:after="0" w:line="480" w:lineRule="auto"/>
        <w:ind w:left="720" w:hanging="720"/>
        <w:jc w:val="left"/>
      </w:pPr>
      <w:r>
        <w:rPr>
          <w:i w:val="0"/>
          <w:sz w:val="24"/>
        </w:rPr>
        <w:t xml:space="preserve">Bureau of Indian Standards. (1959). </w:t>
      </w:r>
      <w:r>
        <w:rPr>
          <w:i/>
          <w:sz w:val="24"/>
        </w:rPr>
        <w:t>Methods of sampling and analysis of concrete</w:t>
      </w:r>
      <w:r>
        <w:rPr>
          <w:i w:val="0"/>
          <w:sz w:val="24"/>
        </w:rPr>
        <w:t xml:space="preserve"> (IS 1199:1959). New Delhi, India.</w:t>
      </w:r>
    </w:p>
    <w:p>
      <w:pPr>
        <w:spacing w:after="0" w:line="480" w:lineRule="auto"/>
        <w:ind w:left="720" w:hanging="720"/>
        <w:jc w:val="left"/>
      </w:pPr>
      <w:r>
        <w:rPr>
          <w:i w:val="0"/>
          <w:sz w:val="24"/>
        </w:rPr>
        <w:t xml:space="preserve">Bureau of Indian Standards. (1959). </w:t>
      </w:r>
      <w:r>
        <w:rPr>
          <w:i/>
          <w:sz w:val="24"/>
        </w:rPr>
        <w:t>Methods of tests for strength of concrete</w:t>
      </w:r>
      <w:r>
        <w:rPr>
          <w:i w:val="0"/>
          <w:sz w:val="24"/>
        </w:rPr>
        <w:t xml:space="preserve"> (IS 516:1959). New Delhi, India.</w:t>
      </w:r>
    </w:p>
    <w:p>
      <w:pPr>
        <w:spacing w:after="0" w:line="480" w:lineRule="auto"/>
        <w:ind w:left="720" w:hanging="720"/>
        <w:jc w:val="left"/>
      </w:pPr>
      <w:r>
        <w:rPr>
          <w:i w:val="0"/>
          <w:sz w:val="24"/>
        </w:rPr>
        <w:t xml:space="preserve">Bureau of Indian Standards. (2000). </w:t>
      </w:r>
      <w:r>
        <w:rPr>
          <w:i/>
          <w:sz w:val="24"/>
        </w:rPr>
        <w:t>Plain and reinforced concrete — Code of practice</w:t>
      </w:r>
      <w:r>
        <w:rPr>
          <w:i w:val="0"/>
          <w:sz w:val="24"/>
        </w:rPr>
        <w:t xml:space="preserve"> (IS 456:2000, 4th rev.). New Delhi, India.</w:t>
      </w:r>
    </w:p>
    <w:p>
      <w:pPr>
        <w:spacing w:after="0" w:line="480" w:lineRule="auto"/>
        <w:ind w:left="720" w:hanging="720"/>
        <w:jc w:val="left"/>
      </w:pPr>
      <w:r>
        <w:rPr>
          <w:i w:val="0"/>
          <w:sz w:val="24"/>
        </w:rPr>
        <w:t xml:space="preserve">Bureau of Indian Standards. (2016). </w:t>
      </w:r>
      <w:r>
        <w:rPr>
          <w:i/>
          <w:sz w:val="24"/>
        </w:rPr>
        <w:t>Coarse and fine aggregate for concrete — Specification</w:t>
      </w:r>
      <w:r>
        <w:rPr>
          <w:i w:val="0"/>
          <w:sz w:val="24"/>
        </w:rPr>
        <w:t xml:space="preserve"> (IS 383:2016, 3rd rev.). New Delhi, India.</w:t>
      </w:r>
    </w:p>
    <w:p>
      <w:pPr>
        <w:spacing w:after="0" w:line="480" w:lineRule="auto"/>
        <w:ind w:left="720" w:hanging="720"/>
        <w:jc w:val="left"/>
      </w:pPr>
      <w:r>
        <w:rPr>
          <w:i w:val="0"/>
          <w:sz w:val="24"/>
        </w:rPr>
        <w:t xml:space="preserve">Bureau of Indian Standards. (2019). </w:t>
      </w:r>
      <w:r>
        <w:rPr>
          <w:i/>
          <w:sz w:val="24"/>
        </w:rPr>
        <w:t>Concrete mix proportioning — Guidelines</w:t>
      </w:r>
      <w:r>
        <w:rPr>
          <w:i w:val="0"/>
          <w:sz w:val="24"/>
        </w:rPr>
        <w:t xml:space="preserve"> (IS 10262:2019, 2nd rev.). New Delhi, India.</w:t>
      </w:r>
    </w:p>
    <w:p>
      <w:pPr>
        <w:spacing w:after="0" w:line="480" w:lineRule="auto"/>
        <w:ind w:left="720" w:hanging="720"/>
        <w:jc w:val="left"/>
      </w:pPr>
      <w:r>
        <w:rPr>
          <w:i w:val="0"/>
          <w:sz w:val="24"/>
        </w:rPr>
        <w:t xml:space="preserve">Carino, N. J., &amp; Lew, H. S. (2001). The maturity method: From theory to application. In </w:t>
      </w:r>
      <w:r>
        <w:rPr>
          <w:i/>
          <w:sz w:val="24"/>
        </w:rPr>
        <w:t>Proceedings of the 2001 Structures Congress and Exposition</w:t>
      </w:r>
      <w:r>
        <w:rPr>
          <w:i w:val="0"/>
          <w:sz w:val="24"/>
        </w:rPr>
        <w:t xml:space="preserve"> (pp. 1–19). American Society of Civil Engineers. https://doi.org/10.1061/40558(2001)17</w:t>
      </w:r>
    </w:p>
    <w:p>
      <w:pPr>
        <w:spacing w:after="0" w:line="480" w:lineRule="auto"/>
        <w:ind w:left="720" w:hanging="720"/>
        <w:jc w:val="left"/>
      </w:pPr>
      <w:r>
        <w:rPr>
          <w:i w:val="0"/>
          <w:sz w:val="24"/>
        </w:rPr>
        <w:t xml:space="preserve">Construction Times. (2025, September 23). </w:t>
      </w:r>
      <w:r>
        <w:rPr>
          <w:i/>
          <w:sz w:val="24"/>
        </w:rPr>
        <w:t>The rise of ready-mix concrete in India: Challenges, quality standards, and sustainable innovations</w:t>
      </w:r>
      <w:r>
        <w:rPr>
          <w:i w:val="0"/>
          <w:sz w:val="24"/>
        </w:rPr>
        <w:t>. https://constructiontimes.co.in</w:t>
      </w:r>
    </w:p>
    <w:p>
      <w:pPr>
        <w:spacing w:after="0" w:line="480" w:lineRule="auto"/>
        <w:ind w:left="720" w:hanging="720"/>
        <w:jc w:val="left"/>
      </w:pPr>
      <w:r>
        <w:rPr>
          <w:i w:val="0"/>
          <w:sz w:val="24"/>
        </w:rPr>
        <w:t xml:space="preserve">Deb, K., Pratap, A., Agarwal, S., &amp; Meyarivan, T. (2002). A fast and elitist multiobjective genetic algorithm: NSGA-II. </w:t>
      </w:r>
      <w:r>
        <w:rPr>
          <w:i/>
          <w:sz w:val="24"/>
        </w:rPr>
        <w:t>IEEE Transactions on Evolutionary Computation, 6</w:t>
      </w:r>
      <w:r>
        <w:rPr>
          <w:i w:val="0"/>
          <w:sz w:val="24"/>
        </w:rPr>
        <w:t>(2), 182–197. https://doi.org/10.1109/4235.996017</w:t>
      </w:r>
    </w:p>
    <w:p>
      <w:pPr>
        <w:spacing w:after="0" w:line="480" w:lineRule="auto"/>
        <w:ind w:left="720" w:hanging="720"/>
        <w:jc w:val="left"/>
      </w:pPr>
      <w:r>
        <w:rPr>
          <w:i w:val="0"/>
          <w:sz w:val="24"/>
        </w:rPr>
        <w:t xml:space="preserve">Freiesleben Hansen, P., &amp; Pedersen, E. J. (1977). Maturity computer for controlled curing and hardening of concrete. </w:t>
      </w:r>
      <w:r>
        <w:rPr>
          <w:i/>
          <w:sz w:val="24"/>
        </w:rPr>
        <w:t>Nordisk Betong, 1</w:t>
      </w:r>
      <w:r>
        <w:rPr>
          <w:i w:val="0"/>
          <w:sz w:val="24"/>
        </w:rPr>
        <w:t>, 19–34.</w:t>
      </w:r>
    </w:p>
    <w:p>
      <w:pPr>
        <w:spacing w:after="0" w:line="480" w:lineRule="auto"/>
        <w:ind w:left="720" w:hanging="720"/>
        <w:jc w:val="left"/>
      </w:pPr>
      <w:r>
        <w:rPr>
          <w:i w:val="0"/>
          <w:sz w:val="24"/>
        </w:rPr>
        <w:t xml:space="preserve">Mouawad, F., Homsi, F., Geara, F., &amp; Mina, R. (2025). Predicting compressive strength of sustainable concrete using machine learning and artificial neural networks. </w:t>
      </w:r>
      <w:r>
        <w:rPr>
          <w:i/>
          <w:sz w:val="24"/>
        </w:rPr>
        <w:t>Construction Materials, 5</w:t>
      </w:r>
      <w:r>
        <w:rPr>
          <w:i w:val="0"/>
          <w:sz w:val="24"/>
        </w:rPr>
        <w:t>(3), Article 56. https://doi.org/10.3390/constrmater5030056</w:t>
      </w:r>
    </w:p>
    <w:p>
      <w:pPr>
        <w:spacing w:after="0" w:line="480" w:lineRule="auto"/>
        <w:ind w:left="720" w:hanging="720"/>
        <w:jc w:val="left"/>
      </w:pPr>
      <w:r>
        <w:rPr>
          <w:i w:val="0"/>
          <w:sz w:val="24"/>
        </w:rPr>
        <w:t xml:space="preserve">Naiknavare, H. P., Deshpande, S. D., &amp; Padhye, R. D. (2013). Model chart of quality control process for ready mixed concrete plants. </w:t>
      </w:r>
      <w:r>
        <w:rPr>
          <w:i/>
          <w:sz w:val="24"/>
        </w:rPr>
        <w:t>[Journal name, volume]</w:t>
      </w:r>
      <w:r>
        <w:rPr>
          <w:i w:val="0"/>
          <w:sz w:val="24"/>
        </w:rPr>
        <w:t>, [pages].</w:t>
      </w:r>
    </w:p>
    <w:p>
      <w:pPr>
        <w:spacing w:after="0" w:line="480" w:lineRule="auto"/>
        <w:ind w:left="720" w:hanging="720"/>
        <w:jc w:val="left"/>
      </w:pPr>
      <w:r>
        <w:rPr>
          <w:i w:val="0"/>
          <w:sz w:val="24"/>
        </w:rPr>
        <w:t xml:space="preserve">New Building Materials &amp; Construction World. (n.d.). </w:t>
      </w:r>
      <w:r>
        <w:rPr>
          <w:i/>
          <w:sz w:val="24"/>
        </w:rPr>
        <w:t>A framework for development of quality control model for Indian ready mixed concrete industry</w:t>
      </w:r>
      <w:r>
        <w:rPr>
          <w:i w:val="0"/>
          <w:sz w:val="24"/>
        </w:rPr>
        <w:t>. https://www.nbmcw.com</w:t>
      </w:r>
    </w:p>
    <w:p>
      <w:pPr>
        <w:spacing w:after="0" w:line="480" w:lineRule="auto"/>
        <w:ind w:left="720" w:hanging="720"/>
        <w:jc w:val="left"/>
      </w:pPr>
      <w:r>
        <w:rPr>
          <w:i w:val="0"/>
          <w:sz w:val="24"/>
        </w:rPr>
        <w:t xml:space="preserve">Nurse, R. W. (1949). Steam curing of concrete. </w:t>
      </w:r>
      <w:r>
        <w:rPr>
          <w:i/>
          <w:sz w:val="24"/>
        </w:rPr>
        <w:t>Magazine of Concrete Research, 1</w:t>
      </w:r>
      <w:r>
        <w:rPr>
          <w:i w:val="0"/>
          <w:sz w:val="24"/>
        </w:rPr>
        <w:t>(2), 79–88. https://doi.org/10.1680/macr.1949.1.2.79</w:t>
      </w:r>
    </w:p>
    <w:p>
      <w:pPr>
        <w:spacing w:after="0" w:line="480" w:lineRule="auto"/>
        <w:ind w:left="720" w:hanging="720"/>
        <w:jc w:val="left"/>
      </w:pPr>
      <w:r>
        <w:rPr>
          <w:i w:val="0"/>
          <w:sz w:val="24"/>
        </w:rPr>
        <w:t xml:space="preserve">Possan, E., Andrade, J. J. O., Dal Molin, D. C. C., &amp; Ribeiro, J. L. D. (2021). Model to estimate concrete carbonation depth and service life prediction. In </w:t>
      </w:r>
      <w:r>
        <w:rPr>
          <w:i/>
          <w:sz w:val="24"/>
        </w:rPr>
        <w:t>Hygrothermal behaviour and building pathologies</w:t>
      </w:r>
      <w:r>
        <w:rPr>
          <w:i w:val="0"/>
          <w:sz w:val="24"/>
        </w:rPr>
        <w:t xml:space="preserve"> (pp. 67–97). Springer. https://doi.org/10.1007/978-3-030-50998-9_4</w:t>
      </w:r>
    </w:p>
    <w:p>
      <w:pPr>
        <w:spacing w:after="0" w:line="480" w:lineRule="auto"/>
        <w:ind w:left="720" w:hanging="720"/>
        <w:jc w:val="left"/>
      </w:pPr>
      <w:r>
        <w:rPr>
          <w:i w:val="0"/>
          <w:sz w:val="24"/>
        </w:rPr>
        <w:t xml:space="preserve">Procurement Resource. (2026). </w:t>
      </w:r>
      <w:r>
        <w:rPr>
          <w:i/>
          <w:sz w:val="24"/>
        </w:rPr>
        <w:t>Fly ash price trend and forecast, Q1 2026</w:t>
      </w:r>
      <w:r>
        <w:rPr>
          <w:i w:val="0"/>
          <w:sz w:val="24"/>
        </w:rPr>
        <w:t>. https://www.procurementresource.com</w:t>
      </w:r>
    </w:p>
    <w:p>
      <w:pPr>
        <w:spacing w:after="0" w:line="480" w:lineRule="auto"/>
        <w:ind w:left="720" w:hanging="720"/>
        <w:jc w:val="left"/>
      </w:pPr>
      <w:r>
        <w:rPr>
          <w:i w:val="0"/>
          <w:sz w:val="24"/>
        </w:rPr>
        <w:t xml:space="preserve">Rasmussen, C. E., &amp; Williams, C. K. I. (2006). </w:t>
      </w:r>
      <w:r>
        <w:rPr>
          <w:i/>
          <w:sz w:val="24"/>
        </w:rPr>
        <w:t>Gaussian processes for machine learning</w:t>
      </w:r>
      <w:r>
        <w:rPr>
          <w:i w:val="0"/>
          <w:sz w:val="24"/>
        </w:rPr>
        <w:t>. MIT Press.</w:t>
      </w:r>
    </w:p>
    <w:p>
      <w:pPr>
        <w:spacing w:after="0" w:line="480" w:lineRule="auto"/>
        <w:ind w:left="720" w:hanging="720"/>
        <w:jc w:val="left"/>
      </w:pPr>
      <w:r>
        <w:rPr>
          <w:i w:val="0"/>
          <w:sz w:val="24"/>
        </w:rPr>
        <w:t xml:space="preserve">Saul, A. G. A. (1951). Principles underlying the steam curing of concrete at atmospheric pressure. </w:t>
      </w:r>
      <w:r>
        <w:rPr>
          <w:i/>
          <w:sz w:val="24"/>
        </w:rPr>
        <w:t>Magazine of Concrete Research, 2</w:t>
      </w:r>
      <w:r>
        <w:rPr>
          <w:i w:val="0"/>
          <w:sz w:val="24"/>
        </w:rPr>
        <w:t>(6), 127–140. https://doi.org/10.1680/macr.1951.2.6.127</w:t>
      </w:r>
    </w:p>
    <w:p>
      <w:pPr>
        <w:spacing w:after="0" w:line="480" w:lineRule="auto"/>
        <w:ind w:left="720" w:hanging="720"/>
        <w:jc w:val="left"/>
      </w:pPr>
      <w:r>
        <w:rPr>
          <w:i w:val="0"/>
          <w:sz w:val="24"/>
        </w:rPr>
        <w:t xml:space="preserve">Sinha, A., Singh, N., Kumar, G., &amp; Pal, S. (2021). Quality factors prioritization of ready-mix concrete and site-mix concrete: A case study in Indian context. In </w:t>
      </w:r>
      <w:r>
        <w:rPr>
          <w:i/>
          <w:sz w:val="24"/>
        </w:rPr>
        <w:t>Proceedings of International Conference on Scientific and Natural Computing</w:t>
      </w:r>
      <w:r>
        <w:rPr>
          <w:i w:val="0"/>
          <w:sz w:val="24"/>
        </w:rPr>
        <w:t xml:space="preserve"> (pp. 179–187). Springer. https://doi.org/10.1007/978-981-16-1528-3_15</w:t>
      </w:r>
    </w:p>
    <w:p>
      <w:pPr>
        <w:spacing w:after="0" w:line="480" w:lineRule="auto"/>
        <w:ind w:left="720" w:hanging="720"/>
        <w:jc w:val="left"/>
      </w:pPr>
      <w:r>
        <w:rPr>
          <w:i w:val="0"/>
          <w:sz w:val="24"/>
        </w:rPr>
        <w:t xml:space="preserve">Thaarrini, J., &amp; Dhivya, S. (2016). Comparative study on the production cost of geopolymer and conventional concretes. </w:t>
      </w:r>
      <w:r>
        <w:rPr>
          <w:i/>
          <w:sz w:val="24"/>
        </w:rPr>
        <w:t>International Journal of Civil Engineering Research, 7</w:t>
      </w:r>
      <w:r>
        <w:rPr>
          <w:i w:val="0"/>
          <w:sz w:val="24"/>
        </w:rPr>
        <w:t>(2), 117–124.</w:t>
      </w:r>
    </w:p>
    <w:p>
      <w:pPr>
        <w:spacing w:after="0" w:line="480" w:lineRule="auto"/>
        <w:ind w:left="720" w:hanging="720"/>
        <w:jc w:val="left"/>
      </w:pPr>
      <w:r>
        <w:rPr>
          <w:i w:val="0"/>
          <w:sz w:val="24"/>
        </w:rPr>
        <w:t xml:space="preserve">University of Illinois. (2026). </w:t>
      </w:r>
      <w:r>
        <w:rPr>
          <w:i/>
          <w:sz w:val="24"/>
        </w:rPr>
        <w:t>BOxCrete: A Bayesian optimization open-source AI model and dataset for concrete mixture design</w:t>
      </w:r>
      <w:r>
        <w:rPr>
          <w:i w:val="0"/>
          <w:sz w:val="24"/>
        </w:rPr>
        <w:t xml:space="preserve"> [Data set]. arXiv. https://arxiv.org/abs/2603.21525</w:t>
      </w:r>
    </w:p>
    <w:p>
      <w:pPr>
        <w:spacing w:after="0" w:line="480" w:lineRule="auto"/>
        <w:ind w:left="720" w:hanging="720"/>
        <w:jc w:val="left"/>
      </w:pPr>
      <w:r>
        <w:rPr>
          <w:i w:val="0"/>
          <w:sz w:val="24"/>
        </w:rPr>
        <w:t xml:space="preserve">Yeh, I.-C. (1998). Modeling of strength of high-performance concrete using artificial neural networks. </w:t>
      </w:r>
      <w:r>
        <w:rPr>
          <w:i/>
          <w:sz w:val="24"/>
        </w:rPr>
        <w:t>Cement and Concrete Research, 28</w:t>
      </w:r>
      <w:r>
        <w:rPr>
          <w:i w:val="0"/>
          <w:sz w:val="24"/>
        </w:rPr>
        <w:t>(12), 1797–1808. https://doi.org/10.1016/S0008-8846(98)00165-3</w:t>
      </w:r>
    </w:p>
    <w:p>
      <w:pPr>
        <w:spacing w:after="0" w:line="480" w:lineRule="auto"/>
        <w:ind w:left="720" w:hanging="720"/>
        <w:jc w:val="left"/>
      </w:pPr>
      <w:r>
        <w:rPr>
          <w:i w:val="0"/>
          <w:sz w:val="24"/>
        </w:rPr>
        <w:t xml:space="preserve">Yeh, I.-C. (2007). </w:t>
      </w:r>
      <w:r>
        <w:rPr>
          <w:i/>
          <w:sz w:val="24"/>
        </w:rPr>
        <w:t>Concrete compressive strength</w:t>
      </w:r>
      <w:r>
        <w:rPr>
          <w:i w:val="0"/>
          <w:sz w:val="24"/>
        </w:rPr>
        <w:t xml:space="preserve"> [Data set]. UCI Machine Learning Repository. https://doi.org/10.24432/C5PK67</w:t>
      </w:r>
    </w:p>
    <w:p>
      <w:r>
        <w:br w:type="page"/>
      </w:r>
    </w:p>
    <w:p>
      <w:pPr>
        <w:pStyle w:val="Heading1"/>
      </w:pPr>
      <w:r>
        <w:t>Section 2 — Optional additional references</w:t>
      </w:r>
    </w:p>
    <w:p>
      <w:pPr>
        <w:spacing w:line="276" w:lineRule="auto" w:after="200"/>
        <w:jc w:val="both"/>
      </w:pPr>
      <w:r>
        <w:rPr>
          <w:b w:val="0"/>
          <w:i/>
          <w:color w:val="5D6B7A"/>
          <w:sz w:val="20"/>
        </w:rPr>
        <w:t>These sources support the cost, carbon and fly-ash supply arguments. Include them only if you retain those sections in your final document; APA requires that every reference listed is cited somewhere in the text.</w:t>
      </w:r>
    </w:p>
    <w:p>
      <w:pPr>
        <w:spacing w:after="0" w:line="480" w:lineRule="auto"/>
        <w:ind w:left="720" w:hanging="720"/>
        <w:jc w:val="left"/>
      </w:pPr>
      <w:r>
        <w:rPr>
          <w:i w:val="0"/>
          <w:sz w:val="24"/>
        </w:rPr>
        <w:t xml:space="preserve">Adnan, &amp; Anas, M. (2025). Geopolymer concrete as a sustainable alternative to OPC. </w:t>
      </w:r>
      <w:r>
        <w:rPr>
          <w:i/>
          <w:sz w:val="24"/>
        </w:rPr>
        <w:t>Journal of Umm Al-Qura University for Engineering and Architecture, 16</w:t>
      </w:r>
      <w:r>
        <w:rPr>
          <w:i w:val="0"/>
          <w:sz w:val="24"/>
        </w:rPr>
        <w:t>, 1223–1245. https://doi.org/10.1007/s43995-025-00155-8</w:t>
      </w:r>
    </w:p>
    <w:p>
      <w:pPr>
        <w:spacing w:after="0" w:line="480" w:lineRule="auto"/>
        <w:ind w:left="720" w:hanging="720"/>
        <w:jc w:val="left"/>
      </w:pPr>
      <w:r>
        <w:rPr>
          <w:i w:val="0"/>
          <w:sz w:val="24"/>
        </w:rPr>
        <w:t xml:space="preserve">Market.us. (2025). </w:t>
      </w:r>
      <w:r>
        <w:rPr>
          <w:i/>
          <w:sz w:val="24"/>
        </w:rPr>
        <w:t>Fly ash market size, share and trends analysis report</w:t>
      </w:r>
      <w:r>
        <w:rPr>
          <w:i w:val="0"/>
          <w:sz w:val="24"/>
        </w:rPr>
        <w:t>. https://market.us/report/global-fly-ash-market</w:t>
      </w:r>
    </w:p>
    <w:p>
      <w:pPr>
        <w:spacing w:after="0" w:line="480" w:lineRule="auto"/>
        <w:ind w:left="720" w:hanging="720"/>
        <w:jc w:val="left"/>
      </w:pPr>
      <w:r>
        <w:rPr>
          <w:i w:val="0"/>
          <w:sz w:val="24"/>
        </w:rPr>
        <w:t xml:space="preserve">Ministry of Road Transport and Highways. (n.d.). </w:t>
      </w:r>
      <w:r>
        <w:rPr>
          <w:i/>
          <w:sz w:val="24"/>
        </w:rPr>
        <w:t>Specifications for road and bridge works</w:t>
      </w:r>
      <w:r>
        <w:rPr>
          <w:i w:val="0"/>
          <w:sz w:val="24"/>
        </w:rPr>
        <w:t xml:space="preserve"> (5th rev.). Indian Roads Congress.</w:t>
      </w:r>
    </w:p>
    <w:p>
      <w:pPr>
        <w:spacing w:after="0" w:line="480" w:lineRule="auto"/>
        <w:ind w:left="720" w:hanging="720"/>
        <w:jc w:val="left"/>
      </w:pPr>
      <w:r>
        <w:rPr>
          <w:i w:val="0"/>
          <w:sz w:val="24"/>
        </w:rPr>
        <w:t xml:space="preserve">Possan, E., &amp; Thomaz, W. A. (2025). Machine learning models for carbonation depth prediction in concrete structures. </w:t>
      </w:r>
      <w:r>
        <w:rPr>
          <w:i/>
          <w:sz w:val="24"/>
        </w:rPr>
        <w:t>Modelling, 6</w:t>
      </w:r>
      <w:r>
        <w:rPr>
          <w:i w:val="0"/>
          <w:sz w:val="24"/>
        </w:rPr>
        <w:t>(2), Article 46. https://doi.org/10.3390/modelling6020046</w:t>
      </w:r>
    </w:p>
    <w:p>
      <w:pPr>
        <w:spacing w:after="0" w:line="480" w:lineRule="auto"/>
        <w:ind w:left="720" w:hanging="720"/>
        <w:jc w:val="left"/>
      </w:pPr>
      <w:r>
        <w:rPr>
          <w:i w:val="0"/>
          <w:sz w:val="24"/>
        </w:rPr>
        <w:t xml:space="preserve">Author, A. A. (2025). [Title of the steel-fibre reinforced geopolymer study]. </w:t>
      </w:r>
      <w:r>
        <w:rPr>
          <w:i/>
          <w:sz w:val="24"/>
        </w:rPr>
        <w:t>Scientific Reports, 15</w:t>
      </w:r>
      <w:r>
        <w:rPr>
          <w:i w:val="0"/>
          <w:sz w:val="24"/>
        </w:rPr>
        <w:t>, Article 05768. https://doi.org/10.1038/s41598-025-05768-6</w:t>
      </w:r>
    </w:p>
    <w:p>
      <w:pPr>
        <w:spacing w:after="0" w:line="480" w:lineRule="auto"/>
        <w:ind w:left="720" w:hanging="720"/>
        <w:jc w:val="left"/>
      </w:pPr>
      <w:r>
        <w:rPr>
          <w:i w:val="0"/>
          <w:sz w:val="24"/>
        </w:rPr>
        <w:t xml:space="preserve">Author, A. A. (2022). Experimental analysis of geopolymer concrete: A sustainable and economical alternative. </w:t>
      </w:r>
      <w:r>
        <w:rPr>
          <w:i/>
          <w:sz w:val="24"/>
        </w:rPr>
        <w:t>Advances in Civil Engineering, 2022</w:t>
      </w:r>
      <w:r>
        <w:rPr>
          <w:i w:val="0"/>
          <w:sz w:val="24"/>
        </w:rPr>
        <w:t>, Article 7488254. https://doi.org/10.1155/2022/7488254</w:t>
      </w:r>
    </w:p>
    <w:p>
      <w:pPr>
        <w:spacing w:after="0" w:line="480" w:lineRule="auto"/>
        <w:ind w:left="720" w:hanging="720"/>
        <w:jc w:val="left"/>
      </w:pPr>
      <w:r>
        <w:rPr>
          <w:i w:val="0"/>
          <w:sz w:val="24"/>
        </w:rPr>
        <w:t xml:space="preserve">Author, A. A. (2023). Evaluating the potential of geopolymer concrete as a sustainable alternative for thin white-topping pavement. </w:t>
      </w:r>
      <w:r>
        <w:rPr>
          <w:i/>
          <w:sz w:val="24"/>
        </w:rPr>
        <w:t>Frontiers in Materials, 10</w:t>
      </w:r>
      <w:r>
        <w:rPr>
          <w:i w:val="0"/>
          <w:sz w:val="24"/>
        </w:rPr>
        <w:t>, Article 1181474. https://doi.org/10.3389/fmats.2023.1181474</w:t>
      </w:r>
    </w:p>
    <w:p>
      <w:r>
        <w:br w:type="page"/>
      </w:r>
    </w:p>
    <w:p>
      <w:pPr>
        <w:pStyle w:val="Heading1"/>
      </w:pPr>
      <w:r>
        <w:t>Section 3 — In-text citations to insert</w:t>
      </w:r>
    </w:p>
    <w:p>
      <w:pPr>
        <w:spacing w:line="276" w:lineRule="auto" w:after="160"/>
        <w:jc w:val="both"/>
      </w:pPr>
      <w:r>
        <w:rPr>
          <w:b w:val="0"/>
          <w:i w:val="0"/>
          <w:sz w:val="20"/>
        </w:rPr>
        <w:t>APA requires an in-text citation at every point where a source is used. The table below tells you exactly what to insert and where, matching the parts of your methodology document.</w:t>
      </w:r>
    </w:p>
    <w:tbl>
      <w:tblPr>
        <w:tblStyle w:val="TableGrid"/>
        <w:tblW w:type="auto" w:w="0"/>
        <w:jc w:val="center"/>
        <w:tblLook w:firstColumn="1" w:firstRow="1" w:lastColumn="0" w:lastRow="0" w:noHBand="0" w:noVBand="1" w:val="04A0"/>
      </w:tblPr>
      <w:tblGrid>
        <w:gridCol w:w="3009"/>
        <w:gridCol w:w="3009"/>
        <w:gridCol w:w="3009"/>
      </w:tblGrid>
      <w:tr>
        <w:tc>
          <w:tcPr>
            <w:tcW w:type="dxa" w:w="2948"/>
            <w:shd w:val="clear" w:color="auto" w:fill="1F3B5C"/>
          </w:tcPr>
          <w:p>
            <w:pPr>
              <w:spacing w:line="240" w:lineRule="auto"/>
              <w:jc w:val="center"/>
            </w:pPr>
            <w:r/>
            <w:r>
              <w:rPr>
                <w:b/>
                <w:color w:val="FFFFFF"/>
                <w:sz w:val="17"/>
              </w:rPr>
              <w:t>Where in the document</w:t>
            </w:r>
          </w:p>
        </w:tc>
        <w:tc>
          <w:tcPr>
            <w:tcW w:type="dxa" w:w="3061"/>
            <w:shd w:val="clear" w:color="auto" w:fill="1F3B5C"/>
          </w:tcPr>
          <w:p>
            <w:pPr>
              <w:spacing w:line="240" w:lineRule="auto"/>
              <w:jc w:val="center"/>
            </w:pPr>
            <w:r/>
            <w:r>
              <w:rPr>
                <w:b/>
                <w:color w:val="FFFFFF"/>
                <w:sz w:val="17"/>
              </w:rPr>
              <w:t>What it supports</w:t>
            </w:r>
          </w:p>
        </w:tc>
        <w:tc>
          <w:tcPr>
            <w:tcW w:type="dxa" w:w="3061"/>
            <w:shd w:val="clear" w:color="auto" w:fill="1F3B5C"/>
          </w:tcPr>
          <w:p>
            <w:pPr>
              <w:spacing w:line="240" w:lineRule="auto"/>
              <w:jc w:val="center"/>
            </w:pPr>
            <w:r/>
            <w:r>
              <w:rPr>
                <w:b/>
                <w:color w:val="FFFFFF"/>
                <w:sz w:val="17"/>
              </w:rPr>
              <w:t>Insert this citation</w:t>
            </w:r>
          </w:p>
        </w:tc>
      </w:tr>
      <w:tr>
        <w:tc>
          <w:tcPr>
            <w:tcW w:type="dxa" w:w="2948"/>
          </w:tcPr>
          <w:p>
            <w:pPr>
              <w:spacing w:after="20" w:line="240" w:lineRule="auto"/>
            </w:pPr>
            <w:r/>
            <w:r>
              <w:rPr>
                <w:b w:val="0"/>
                <w:sz w:val="17"/>
              </w:rPr>
              <w:t>Part 1.2, plant variability figures</w:t>
            </w:r>
          </w:p>
        </w:tc>
        <w:tc>
          <w:tcPr>
            <w:tcW w:type="dxa" w:w="3061"/>
          </w:tcPr>
          <w:p>
            <w:pPr>
              <w:spacing w:after="20" w:line="240" w:lineRule="auto"/>
            </w:pPr>
            <w:r/>
            <w:r>
              <w:rPr>
                <w:b w:val="0"/>
                <w:sz w:val="17"/>
              </w:rPr>
              <w:t>σ = 1.92 to 6.57 MPa; coefficient of variation 0.068 to 0.131</w:t>
            </w:r>
          </w:p>
        </w:tc>
        <w:tc>
          <w:tcPr>
            <w:tcW w:type="dxa" w:w="3061"/>
          </w:tcPr>
          <w:p>
            <w:pPr>
              <w:spacing w:after="20" w:line="240" w:lineRule="auto"/>
            </w:pPr>
            <w:r/>
            <w:r>
              <w:rPr>
                <w:b w:val="0"/>
                <w:sz w:val="17"/>
              </w:rPr>
              <w:t>(New Building Materials &amp; Construction World, n.d.)</w:t>
            </w:r>
          </w:p>
        </w:tc>
      </w:tr>
      <w:tr>
        <w:tc>
          <w:tcPr>
            <w:tcW w:type="dxa" w:w="2948"/>
          </w:tcPr>
          <w:p>
            <w:pPr>
              <w:spacing w:after="20" w:line="240" w:lineRule="auto"/>
            </w:pPr>
            <w:r/>
            <w:r>
              <w:rPr>
                <w:b w:val="0"/>
                <w:sz w:val="17"/>
              </w:rPr>
              <w:t>Part 1.3, target mean strength equation</w:t>
            </w:r>
          </w:p>
        </w:tc>
        <w:tc>
          <w:tcPr>
            <w:tcW w:type="dxa" w:w="3061"/>
          </w:tcPr>
          <w:p>
            <w:pPr>
              <w:spacing w:after="20" w:line="240" w:lineRule="auto"/>
            </w:pPr>
            <w:r/>
            <w:r>
              <w:rPr>
                <w:b w:val="0"/>
                <w:sz w:val="17"/>
              </w:rPr>
              <w:t>Target mean strength = f_ck + 1.65σ</w:t>
            </w:r>
          </w:p>
        </w:tc>
        <w:tc>
          <w:tcPr>
            <w:tcW w:type="dxa" w:w="3061"/>
          </w:tcPr>
          <w:p>
            <w:pPr>
              <w:spacing w:after="20" w:line="240" w:lineRule="auto"/>
            </w:pPr>
            <w:r/>
            <w:r>
              <w:rPr>
                <w:b w:val="0"/>
                <w:sz w:val="17"/>
              </w:rPr>
              <w:t>(Bureau of Indian Standards, 2000, cl. 8.2.4.1)</w:t>
            </w:r>
          </w:p>
        </w:tc>
      </w:tr>
      <w:tr>
        <w:tc>
          <w:tcPr>
            <w:tcW w:type="dxa" w:w="2948"/>
          </w:tcPr>
          <w:p>
            <w:pPr>
              <w:spacing w:after="20" w:line="240" w:lineRule="auto"/>
            </w:pPr>
            <w:r/>
            <w:r>
              <w:rPr>
                <w:b w:val="0"/>
                <w:sz w:val="17"/>
              </w:rPr>
              <w:t>Part 1.3, industry statistics</w:t>
            </w:r>
          </w:p>
        </w:tc>
        <w:tc>
          <w:tcPr>
            <w:tcW w:type="dxa" w:w="3061"/>
          </w:tcPr>
          <w:p>
            <w:pPr>
              <w:spacing w:after="20" w:line="240" w:lineRule="auto"/>
            </w:pPr>
            <w:r/>
            <w:r>
              <w:rPr>
                <w:b w:val="0"/>
                <w:sz w:val="17"/>
              </w:rPr>
              <w:t>20–30% rework; ±20 mm slump variation; 60% BIS compliance</w:t>
            </w:r>
          </w:p>
        </w:tc>
        <w:tc>
          <w:tcPr>
            <w:tcW w:type="dxa" w:w="3061"/>
          </w:tcPr>
          <w:p>
            <w:pPr>
              <w:spacing w:after="20" w:line="240" w:lineRule="auto"/>
            </w:pPr>
            <w:r/>
            <w:r>
              <w:rPr>
                <w:b w:val="0"/>
                <w:sz w:val="17"/>
              </w:rPr>
              <w:t>(Construction Times, 2025)</w:t>
            </w:r>
          </w:p>
        </w:tc>
      </w:tr>
      <w:tr>
        <w:tc>
          <w:tcPr>
            <w:tcW w:type="dxa" w:w="2948"/>
          </w:tcPr>
          <w:p>
            <w:pPr>
              <w:spacing w:after="20" w:line="240" w:lineRule="auto"/>
            </w:pPr>
            <w:r/>
            <w:r>
              <w:rPr>
                <w:b w:val="0"/>
                <w:sz w:val="17"/>
              </w:rPr>
              <w:t>Part 3.1, Abrams' law</w:t>
            </w:r>
          </w:p>
        </w:tc>
        <w:tc>
          <w:tcPr>
            <w:tcW w:type="dxa" w:w="3061"/>
          </w:tcPr>
          <w:p>
            <w:pPr>
              <w:spacing w:after="20" w:line="240" w:lineRule="auto"/>
            </w:pPr>
            <w:r/>
            <w:r>
              <w:rPr>
                <w:b w:val="0"/>
                <w:sz w:val="17"/>
              </w:rPr>
              <w:t>Strength depends on water–cement ratio</w:t>
            </w:r>
          </w:p>
        </w:tc>
        <w:tc>
          <w:tcPr>
            <w:tcW w:type="dxa" w:w="3061"/>
          </w:tcPr>
          <w:p>
            <w:pPr>
              <w:spacing w:after="20" w:line="240" w:lineRule="auto"/>
            </w:pPr>
            <w:r/>
            <w:r>
              <w:rPr>
                <w:b w:val="0"/>
                <w:sz w:val="17"/>
              </w:rPr>
              <w:t>(Abrams, 1918)</w:t>
            </w:r>
          </w:p>
        </w:tc>
      </w:tr>
      <w:tr>
        <w:tc>
          <w:tcPr>
            <w:tcW w:type="dxa" w:w="2948"/>
          </w:tcPr>
          <w:p>
            <w:pPr>
              <w:spacing w:after="20" w:line="240" w:lineRule="auto"/>
            </w:pPr>
            <w:r/>
            <w:r>
              <w:rPr>
                <w:b w:val="0"/>
                <w:sz w:val="17"/>
              </w:rPr>
              <w:t>Part 3.1 and 4.3, maturity method</w:t>
            </w:r>
          </w:p>
        </w:tc>
        <w:tc>
          <w:tcPr>
            <w:tcW w:type="dxa" w:w="3061"/>
          </w:tcPr>
          <w:p>
            <w:pPr>
              <w:spacing w:after="20" w:line="240" w:lineRule="auto"/>
            </w:pPr>
            <w:r/>
            <w:r>
              <w:rPr>
                <w:b w:val="0"/>
                <w:sz w:val="17"/>
              </w:rPr>
              <w:t>Nurse–Saul and Arrhenius maturity functions</w:t>
            </w:r>
          </w:p>
        </w:tc>
        <w:tc>
          <w:tcPr>
            <w:tcW w:type="dxa" w:w="3061"/>
          </w:tcPr>
          <w:p>
            <w:pPr>
              <w:spacing w:after="20" w:line="240" w:lineRule="auto"/>
            </w:pPr>
            <w:r/>
            <w:r>
              <w:rPr>
                <w:b w:val="0"/>
                <w:sz w:val="17"/>
              </w:rPr>
              <w:t>(Nurse, 1949; Saul, 1951; Freiesleben Hansen &amp; Pedersen, 1977)</w:t>
            </w:r>
          </w:p>
        </w:tc>
      </w:tr>
      <w:tr>
        <w:tc>
          <w:tcPr>
            <w:tcW w:type="dxa" w:w="2948"/>
          </w:tcPr>
          <w:p>
            <w:pPr>
              <w:spacing w:after="20" w:line="240" w:lineRule="auto"/>
            </w:pPr>
            <w:r/>
            <w:r>
              <w:rPr>
                <w:b w:val="0"/>
                <w:sz w:val="17"/>
              </w:rPr>
              <w:t>Part 4.3, maturity practice</w:t>
            </w:r>
          </w:p>
        </w:tc>
        <w:tc>
          <w:tcPr>
            <w:tcW w:type="dxa" w:w="3061"/>
          </w:tcPr>
          <w:p>
            <w:pPr>
              <w:spacing w:after="20" w:line="240" w:lineRule="auto"/>
            </w:pPr>
            <w:r/>
            <w:r>
              <w:rPr>
                <w:b w:val="0"/>
                <w:sz w:val="17"/>
              </w:rPr>
              <w:t>Standard practice for the maturity method</w:t>
            </w:r>
          </w:p>
        </w:tc>
        <w:tc>
          <w:tcPr>
            <w:tcW w:type="dxa" w:w="3061"/>
          </w:tcPr>
          <w:p>
            <w:pPr>
              <w:spacing w:after="20" w:line="240" w:lineRule="auto"/>
            </w:pPr>
            <w:r/>
            <w:r>
              <w:rPr>
                <w:b w:val="0"/>
                <w:sz w:val="17"/>
              </w:rPr>
              <w:t>(ASTM International, 2019)</w:t>
            </w:r>
          </w:p>
        </w:tc>
      </w:tr>
      <w:tr>
        <w:tc>
          <w:tcPr>
            <w:tcW w:type="dxa" w:w="2948"/>
          </w:tcPr>
          <w:p>
            <w:pPr>
              <w:spacing w:after="20" w:line="240" w:lineRule="auto"/>
            </w:pPr>
            <w:r/>
            <w:r>
              <w:rPr>
                <w:b w:val="0"/>
                <w:sz w:val="17"/>
              </w:rPr>
              <w:t>Part 3.4, Gaussian Process</w:t>
            </w:r>
          </w:p>
        </w:tc>
        <w:tc>
          <w:tcPr>
            <w:tcW w:type="dxa" w:w="3061"/>
          </w:tcPr>
          <w:p>
            <w:pPr>
              <w:spacing w:after="20" w:line="240" w:lineRule="auto"/>
            </w:pPr>
            <w:r/>
            <w:r>
              <w:rPr>
                <w:b w:val="0"/>
                <w:sz w:val="17"/>
              </w:rPr>
              <w:t>Prediction method that reports its own confidence</w:t>
            </w:r>
          </w:p>
        </w:tc>
        <w:tc>
          <w:tcPr>
            <w:tcW w:type="dxa" w:w="3061"/>
          </w:tcPr>
          <w:p>
            <w:pPr>
              <w:spacing w:after="20" w:line="240" w:lineRule="auto"/>
            </w:pPr>
            <w:r/>
            <w:r>
              <w:rPr>
                <w:b w:val="0"/>
                <w:sz w:val="17"/>
              </w:rPr>
              <w:t>(Rasmussen &amp; Williams, 2006)</w:t>
            </w:r>
          </w:p>
        </w:tc>
      </w:tr>
      <w:tr>
        <w:tc>
          <w:tcPr>
            <w:tcW w:type="dxa" w:w="2948"/>
          </w:tcPr>
          <w:p>
            <w:pPr>
              <w:spacing w:after="20" w:line="240" w:lineRule="auto"/>
            </w:pPr>
            <w:r/>
            <w:r>
              <w:rPr>
                <w:b w:val="0"/>
                <w:sz w:val="17"/>
              </w:rPr>
              <w:t>Part 4.3, UCI dataset</w:t>
            </w:r>
          </w:p>
        </w:tc>
        <w:tc>
          <w:tcPr>
            <w:tcW w:type="dxa" w:w="3061"/>
          </w:tcPr>
          <w:p>
            <w:pPr>
              <w:spacing w:after="20" w:line="240" w:lineRule="auto"/>
            </w:pPr>
            <w:r/>
            <w:r>
              <w:rPr>
                <w:b w:val="0"/>
                <w:sz w:val="17"/>
              </w:rPr>
              <w:t>1,030 records used as the baseline dataset</w:t>
            </w:r>
          </w:p>
        </w:tc>
        <w:tc>
          <w:tcPr>
            <w:tcW w:type="dxa" w:w="3061"/>
          </w:tcPr>
          <w:p>
            <w:pPr>
              <w:spacing w:after="20" w:line="240" w:lineRule="auto"/>
            </w:pPr>
            <w:r/>
            <w:r>
              <w:rPr>
                <w:b w:val="0"/>
                <w:sz w:val="17"/>
              </w:rPr>
              <w:t>(Yeh, 1998, 2007)</w:t>
            </w:r>
          </w:p>
        </w:tc>
      </w:tr>
      <w:tr>
        <w:tc>
          <w:tcPr>
            <w:tcW w:type="dxa" w:w="2948"/>
          </w:tcPr>
          <w:p>
            <w:pPr>
              <w:spacing w:after="20" w:line="240" w:lineRule="auto"/>
            </w:pPr>
            <w:r/>
            <w:r>
              <w:rPr>
                <w:b w:val="0"/>
                <w:sz w:val="17"/>
              </w:rPr>
              <w:t>Part 4.3 and Part F, BOxCrete dataset</w:t>
            </w:r>
          </w:p>
        </w:tc>
        <w:tc>
          <w:tcPr>
            <w:tcW w:type="dxa" w:w="3061"/>
          </w:tcPr>
          <w:p>
            <w:pPr>
              <w:spacing w:after="20" w:line="240" w:lineRule="auto"/>
            </w:pPr>
            <w:r/>
            <w:r>
              <w:rPr>
                <w:b w:val="0"/>
                <w:sz w:val="17"/>
              </w:rPr>
              <w:t>533 measurements, 123 mixes, five curing ages</w:t>
            </w:r>
          </w:p>
        </w:tc>
        <w:tc>
          <w:tcPr>
            <w:tcW w:type="dxa" w:w="3061"/>
          </w:tcPr>
          <w:p>
            <w:pPr>
              <w:spacing w:after="20" w:line="240" w:lineRule="auto"/>
            </w:pPr>
            <w:r/>
            <w:r>
              <w:rPr>
                <w:b w:val="0"/>
                <w:sz w:val="17"/>
              </w:rPr>
              <w:t>(University of Illinois, 2026)</w:t>
            </w:r>
          </w:p>
        </w:tc>
      </w:tr>
      <w:tr>
        <w:tc>
          <w:tcPr>
            <w:tcW w:type="dxa" w:w="2948"/>
          </w:tcPr>
          <w:p>
            <w:pPr>
              <w:spacing w:after="20" w:line="240" w:lineRule="auto"/>
            </w:pPr>
            <w:r/>
            <w:r>
              <w:rPr>
                <w:b w:val="0"/>
                <w:sz w:val="17"/>
              </w:rPr>
              <w:t>Part 5.3, NSGA-II</w:t>
            </w:r>
          </w:p>
        </w:tc>
        <w:tc>
          <w:tcPr>
            <w:tcW w:type="dxa" w:w="3061"/>
          </w:tcPr>
          <w:p>
            <w:pPr>
              <w:spacing w:after="20" w:line="240" w:lineRule="auto"/>
            </w:pPr>
            <w:r/>
            <w:r>
              <w:rPr>
                <w:b w:val="0"/>
                <w:sz w:val="17"/>
              </w:rPr>
              <w:t>Multi-objective optimisation algorithm</w:t>
            </w:r>
          </w:p>
        </w:tc>
        <w:tc>
          <w:tcPr>
            <w:tcW w:type="dxa" w:w="3061"/>
          </w:tcPr>
          <w:p>
            <w:pPr>
              <w:spacing w:after="20" w:line="240" w:lineRule="auto"/>
            </w:pPr>
            <w:r/>
            <w:r>
              <w:rPr>
                <w:b w:val="0"/>
                <w:sz w:val="17"/>
              </w:rPr>
              <w:t>(Deb et al., 2002)</w:t>
            </w:r>
          </w:p>
        </w:tc>
      </w:tr>
      <w:tr>
        <w:tc>
          <w:tcPr>
            <w:tcW w:type="dxa" w:w="2948"/>
          </w:tcPr>
          <w:p>
            <w:pPr>
              <w:spacing w:after="20" w:line="240" w:lineRule="auto"/>
            </w:pPr>
            <w:r/>
            <w:r>
              <w:rPr>
                <w:b w:val="0"/>
                <w:sz w:val="17"/>
              </w:rPr>
              <w:t>Part 5.2, cost contradiction</w:t>
            </w:r>
          </w:p>
        </w:tc>
        <w:tc>
          <w:tcPr>
            <w:tcW w:type="dxa" w:w="3061"/>
          </w:tcPr>
          <w:p>
            <w:pPr>
              <w:spacing w:after="20" w:line="240" w:lineRule="auto"/>
            </w:pPr>
            <w:r/>
            <w:r>
              <w:rPr>
                <w:b w:val="0"/>
                <w:sz w:val="17"/>
              </w:rPr>
              <w:t>Published geopolymer cost comparisons</w:t>
            </w:r>
          </w:p>
        </w:tc>
        <w:tc>
          <w:tcPr>
            <w:tcW w:type="dxa" w:w="3061"/>
          </w:tcPr>
          <w:p>
            <w:pPr>
              <w:spacing w:after="20" w:line="240" w:lineRule="auto"/>
            </w:pPr>
            <w:r/>
            <w:r>
              <w:rPr>
                <w:b w:val="0"/>
                <w:sz w:val="17"/>
              </w:rPr>
              <w:t>(Adnan &amp; Anas, 2025; Thaarrini &amp; Dhivya, 2016)</w:t>
            </w:r>
          </w:p>
        </w:tc>
      </w:tr>
      <w:tr>
        <w:tc>
          <w:tcPr>
            <w:tcW w:type="dxa" w:w="2948"/>
          </w:tcPr>
          <w:p>
            <w:pPr>
              <w:spacing w:after="20" w:line="240" w:lineRule="auto"/>
            </w:pPr>
            <w:r/>
            <w:r>
              <w:rPr>
                <w:b w:val="0"/>
                <w:sz w:val="17"/>
              </w:rPr>
              <w:t>Part 5.3, fly ash supply</w:t>
            </w:r>
          </w:p>
        </w:tc>
        <w:tc>
          <w:tcPr>
            <w:tcW w:type="dxa" w:w="3061"/>
          </w:tcPr>
          <w:p>
            <w:pPr>
              <w:spacing w:after="20" w:line="240" w:lineRule="auto"/>
            </w:pPr>
            <w:r/>
            <w:r>
              <w:rPr>
                <w:b w:val="0"/>
                <w:sz w:val="17"/>
              </w:rPr>
              <w:t>India utilisation approximately 96%; prices rising</w:t>
            </w:r>
          </w:p>
        </w:tc>
        <w:tc>
          <w:tcPr>
            <w:tcW w:type="dxa" w:w="3061"/>
          </w:tcPr>
          <w:p>
            <w:pPr>
              <w:spacing w:after="20" w:line="240" w:lineRule="auto"/>
            </w:pPr>
            <w:r/>
            <w:r>
              <w:rPr>
                <w:b w:val="0"/>
                <w:sz w:val="17"/>
              </w:rPr>
              <w:t>(Procurement Resource, 2026; Market.us, 2025)</w:t>
            </w:r>
          </w:p>
        </w:tc>
      </w:tr>
      <w:tr>
        <w:tc>
          <w:tcPr>
            <w:tcW w:type="dxa" w:w="2948"/>
          </w:tcPr>
          <w:p>
            <w:pPr>
              <w:spacing w:after="20" w:line="240" w:lineRule="auto"/>
            </w:pPr>
            <w:r/>
            <w:r>
              <w:rPr>
                <w:b w:val="0"/>
                <w:sz w:val="17"/>
              </w:rPr>
              <w:t>Part 6.1, slump test method</w:t>
            </w:r>
          </w:p>
        </w:tc>
        <w:tc>
          <w:tcPr>
            <w:tcW w:type="dxa" w:w="3061"/>
          </w:tcPr>
          <w:p>
            <w:pPr>
              <w:spacing w:after="20" w:line="240" w:lineRule="auto"/>
            </w:pPr>
            <w:r/>
            <w:r>
              <w:rPr>
                <w:b w:val="0"/>
                <w:sz w:val="17"/>
              </w:rPr>
              <w:t>IS 1199 slump procedure</w:t>
            </w:r>
          </w:p>
        </w:tc>
        <w:tc>
          <w:tcPr>
            <w:tcW w:type="dxa" w:w="3061"/>
          </w:tcPr>
          <w:p>
            <w:pPr>
              <w:spacing w:after="20" w:line="240" w:lineRule="auto"/>
            </w:pPr>
            <w:r/>
            <w:r>
              <w:rPr>
                <w:b w:val="0"/>
                <w:sz w:val="17"/>
              </w:rPr>
              <w:t>(Bureau of Indian Standards, 1959)</w:t>
            </w:r>
          </w:p>
        </w:tc>
      </w:tr>
      <w:tr>
        <w:tc>
          <w:tcPr>
            <w:tcW w:type="dxa" w:w="2948"/>
          </w:tcPr>
          <w:p>
            <w:pPr>
              <w:spacing w:after="20" w:line="240" w:lineRule="auto"/>
            </w:pPr>
            <w:r/>
            <w:r>
              <w:rPr>
                <w:b w:val="0"/>
                <w:sz w:val="17"/>
              </w:rPr>
              <w:t>Part 6.1, RMC quality factors</w:t>
            </w:r>
          </w:p>
        </w:tc>
        <w:tc>
          <w:tcPr>
            <w:tcW w:type="dxa" w:w="3061"/>
          </w:tcPr>
          <w:p>
            <w:pPr>
              <w:spacing w:after="20" w:line="240" w:lineRule="auto"/>
            </w:pPr>
            <w:r/>
            <w:r>
              <w:rPr>
                <w:b w:val="0"/>
                <w:sz w:val="17"/>
              </w:rPr>
              <w:t>Ranking of factors affecting concrete quality</w:t>
            </w:r>
          </w:p>
        </w:tc>
        <w:tc>
          <w:tcPr>
            <w:tcW w:type="dxa" w:w="3061"/>
          </w:tcPr>
          <w:p>
            <w:pPr>
              <w:spacing w:after="20" w:line="240" w:lineRule="auto"/>
            </w:pPr>
            <w:r/>
            <w:r>
              <w:rPr>
                <w:b w:val="0"/>
                <w:sz w:val="17"/>
              </w:rPr>
              <w:t>(Sinha et al., 2021)</w:t>
            </w:r>
          </w:p>
        </w:tc>
      </w:tr>
    </w:tbl>
    <w:p>
      <w:pPr>
        <w:spacing w:after="60"/>
      </w:pPr>
    </w:p>
    <w:p>
      <w:r>
        <w:br w:type="page"/>
      </w:r>
    </w:p>
    <w:p>
      <w:pPr>
        <w:pStyle w:val="Heading1"/>
      </w:pPr>
      <w:r>
        <w:t>Section 4 — Verification checklist before submission</w:t>
      </w:r>
    </w:p>
    <w:p>
      <w:pPr>
        <w:spacing w:line="276" w:lineRule="auto" w:after="160"/>
        <w:jc w:val="both"/>
      </w:pPr>
      <w:r>
        <w:rPr>
          <w:b w:val="0"/>
          <w:i w:val="0"/>
          <w:sz w:val="20"/>
        </w:rPr>
        <w:t>Work down this list. Most entries are complete. A small number need one field confirmed, which takes a few minutes each with the source open in front of you.</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1F3B5C"/>
          </w:tcPr>
          <w:p>
            <w:pPr>
              <w:spacing w:line="240" w:lineRule="auto"/>
              <w:jc w:val="center"/>
            </w:pPr>
            <w:r/>
            <w:r>
              <w:rPr>
                <w:b/>
                <w:color w:val="FFFFFF"/>
                <w:sz w:val="17"/>
              </w:rPr>
              <w:t>Reference</w:t>
            </w:r>
          </w:p>
        </w:tc>
        <w:tc>
          <w:tcPr>
            <w:tcW w:type="dxa" w:w="1247"/>
            <w:shd w:val="clear" w:color="auto" w:fill="1F3B5C"/>
          </w:tcPr>
          <w:p>
            <w:pPr>
              <w:spacing w:line="240" w:lineRule="auto"/>
              <w:jc w:val="center"/>
            </w:pPr>
            <w:r/>
            <w:r>
              <w:rPr>
                <w:b/>
                <w:color w:val="FFFFFF"/>
                <w:sz w:val="17"/>
              </w:rPr>
              <w:t>Status</w:t>
            </w:r>
          </w:p>
        </w:tc>
        <w:tc>
          <w:tcPr>
            <w:tcW w:type="dxa" w:w="4989"/>
            <w:shd w:val="clear" w:color="auto" w:fill="1F3B5C"/>
          </w:tcPr>
          <w:p>
            <w:pPr>
              <w:spacing w:line="240" w:lineRule="auto"/>
              <w:jc w:val="center"/>
            </w:pPr>
            <w:r/>
            <w:r>
              <w:rPr>
                <w:b/>
                <w:color w:val="FFFFFF"/>
                <w:sz w:val="17"/>
              </w:rPr>
              <w:t>What to do</w:t>
            </w:r>
          </w:p>
        </w:tc>
      </w:tr>
      <w:tr>
        <w:tc>
          <w:tcPr>
            <w:tcW w:type="dxa" w:w="2835"/>
          </w:tcPr>
          <w:p>
            <w:pPr>
              <w:spacing w:after="20" w:line="240" w:lineRule="auto"/>
            </w:pPr>
            <w:r/>
            <w:r>
              <w:rPr>
                <w:b w:val="0"/>
                <w:sz w:val="17"/>
              </w:rPr>
              <w:t>Bureau of Indian Standards (all five)</w:t>
            </w:r>
          </w:p>
        </w:tc>
        <w:tc>
          <w:tcPr>
            <w:tcW w:type="dxa" w:w="1247"/>
          </w:tcPr>
          <w:p>
            <w:pPr>
              <w:spacing w:after="20" w:line="240" w:lineRule="auto"/>
            </w:pPr>
            <w:r/>
            <w:r>
              <w:rPr>
                <w:b w:val="0"/>
                <w:color w:val="B8860B"/>
                <w:sz w:val="17"/>
              </w:rPr>
              <w:t>STANDARD</w:t>
            </w:r>
          </w:p>
        </w:tc>
        <w:tc>
          <w:tcPr>
            <w:tcW w:type="dxa" w:w="4989"/>
          </w:tcPr>
          <w:p>
            <w:pPr>
              <w:spacing w:after="20" w:line="240" w:lineRule="auto"/>
            </w:pPr>
            <w:r/>
            <w:r>
              <w:rPr>
                <w:b w:val="0"/>
                <w:sz w:val="17"/>
              </w:rPr>
              <w:t>Confirm you are citing the current revision and its year. IS codes are reaffirmed periodically; check the copy in your department library.</w:t>
            </w:r>
          </w:p>
        </w:tc>
      </w:tr>
      <w:tr>
        <w:tc>
          <w:tcPr>
            <w:tcW w:type="dxa" w:w="2835"/>
          </w:tcPr>
          <w:p>
            <w:pPr>
              <w:spacing w:after="20" w:line="240" w:lineRule="auto"/>
            </w:pPr>
            <w:r/>
            <w:r>
              <w:rPr>
                <w:b w:val="0"/>
                <w:sz w:val="17"/>
              </w:rPr>
              <w:t>Abrams (1918)</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No action.</w:t>
            </w:r>
          </w:p>
        </w:tc>
      </w:tr>
      <w:tr>
        <w:tc>
          <w:tcPr>
            <w:tcW w:type="dxa" w:w="2835"/>
          </w:tcPr>
          <w:p>
            <w:pPr>
              <w:spacing w:after="20" w:line="240" w:lineRule="auto"/>
            </w:pPr>
            <w:r/>
            <w:r>
              <w:rPr>
                <w:b w:val="0"/>
                <w:sz w:val="17"/>
              </w:rPr>
              <w:t>ASTM C1074-19</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No action.</w:t>
            </w:r>
          </w:p>
        </w:tc>
      </w:tr>
      <w:tr>
        <w:tc>
          <w:tcPr>
            <w:tcW w:type="dxa" w:w="2835"/>
          </w:tcPr>
          <w:p>
            <w:pPr>
              <w:spacing w:after="20" w:line="240" w:lineRule="auto"/>
            </w:pPr>
            <w:r/>
            <w:r>
              <w:rPr>
                <w:b w:val="0"/>
                <w:sz w:val="17"/>
              </w:rPr>
              <w:t>Nurse (1949), Saul (1951)</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No action. These are the original maturity papers.</w:t>
            </w:r>
          </w:p>
        </w:tc>
      </w:tr>
      <w:tr>
        <w:tc>
          <w:tcPr>
            <w:tcW w:type="dxa" w:w="2835"/>
          </w:tcPr>
          <w:p>
            <w:pPr>
              <w:spacing w:after="20" w:line="240" w:lineRule="auto"/>
            </w:pPr>
            <w:r/>
            <w:r>
              <w:rPr>
                <w:b w:val="0"/>
                <w:sz w:val="17"/>
              </w:rPr>
              <w:t>Freiesleben Hansen &amp; Pedersen (1977)</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No action. Source of the Arrhenius-based equivalent-age function.</w:t>
            </w:r>
          </w:p>
        </w:tc>
      </w:tr>
      <w:tr>
        <w:tc>
          <w:tcPr>
            <w:tcW w:type="dxa" w:w="2835"/>
          </w:tcPr>
          <w:p>
            <w:pPr>
              <w:spacing w:after="20" w:line="240" w:lineRule="auto"/>
            </w:pPr>
            <w:r/>
            <w:r>
              <w:rPr>
                <w:b w:val="0"/>
                <w:sz w:val="17"/>
              </w:rPr>
              <w:t>Carino &amp; Lew (2001)</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No action. Useful as the standard review of the maturity method.</w:t>
            </w:r>
          </w:p>
        </w:tc>
      </w:tr>
      <w:tr>
        <w:tc>
          <w:tcPr>
            <w:tcW w:type="dxa" w:w="2835"/>
          </w:tcPr>
          <w:p>
            <w:pPr>
              <w:spacing w:after="20" w:line="240" w:lineRule="auto"/>
            </w:pPr>
            <w:r/>
            <w:r>
              <w:rPr>
                <w:b w:val="0"/>
                <w:sz w:val="17"/>
              </w:rPr>
              <w:t>Rasmussen &amp; Williams (2006)</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No action. The standard Gaussian Process text; freely available online.</w:t>
            </w:r>
          </w:p>
        </w:tc>
      </w:tr>
      <w:tr>
        <w:tc>
          <w:tcPr>
            <w:tcW w:type="dxa" w:w="2835"/>
          </w:tcPr>
          <w:p>
            <w:pPr>
              <w:spacing w:after="20" w:line="240" w:lineRule="auto"/>
            </w:pPr>
            <w:r/>
            <w:r>
              <w:rPr>
                <w:b w:val="0"/>
                <w:sz w:val="17"/>
              </w:rPr>
              <w:t>Deb et al. (2002)</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No action.</w:t>
            </w:r>
          </w:p>
        </w:tc>
      </w:tr>
      <w:tr>
        <w:tc>
          <w:tcPr>
            <w:tcW w:type="dxa" w:w="2835"/>
          </w:tcPr>
          <w:p>
            <w:pPr>
              <w:spacing w:after="20" w:line="240" w:lineRule="auto"/>
            </w:pPr>
            <w:r/>
            <w:r>
              <w:rPr>
                <w:b w:val="0"/>
                <w:sz w:val="17"/>
              </w:rPr>
              <w:t>Yeh (1998) and Yeh (2007) dataset</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No action. Cite both: the paper for the method, the repository entry for the data.</w:t>
            </w:r>
          </w:p>
        </w:tc>
      </w:tr>
      <w:tr>
        <w:tc>
          <w:tcPr>
            <w:tcW w:type="dxa" w:w="2835"/>
          </w:tcPr>
          <w:p>
            <w:pPr>
              <w:spacing w:after="20" w:line="240" w:lineRule="auto"/>
            </w:pPr>
            <w:r/>
            <w:r>
              <w:rPr>
                <w:b w:val="0"/>
                <w:sz w:val="17"/>
              </w:rPr>
              <w:t>University of Illinois (2026) — BOxCrete</w:t>
            </w:r>
          </w:p>
        </w:tc>
        <w:tc>
          <w:tcPr>
            <w:tcW w:type="dxa" w:w="1247"/>
          </w:tcPr>
          <w:p>
            <w:pPr>
              <w:spacing w:after="20" w:line="240" w:lineRule="auto"/>
            </w:pPr>
            <w:r/>
            <w:r>
              <w:rPr>
                <w:b w:val="0"/>
                <w:color w:val="B8860B"/>
                <w:sz w:val="17"/>
              </w:rPr>
              <w:t>PARTIAL</w:t>
            </w:r>
          </w:p>
        </w:tc>
        <w:tc>
          <w:tcPr>
            <w:tcW w:type="dxa" w:w="4989"/>
          </w:tcPr>
          <w:p>
            <w:pPr>
              <w:spacing w:after="20" w:line="240" w:lineRule="auto"/>
            </w:pPr>
            <w:r/>
            <w:r>
              <w:rPr>
                <w:b w:val="0"/>
                <w:color w:val="B3261E"/>
                <w:sz w:val="17"/>
              </w:rPr>
              <w:t>Confirm the author names from the arXiv listing and replace the institutional author with them. Check whether it has since been published in a journal.</w:t>
            </w:r>
          </w:p>
        </w:tc>
      </w:tr>
      <w:tr>
        <w:tc>
          <w:tcPr>
            <w:tcW w:type="dxa" w:w="2835"/>
          </w:tcPr>
          <w:p>
            <w:pPr>
              <w:spacing w:after="20" w:line="240" w:lineRule="auto"/>
            </w:pPr>
            <w:r/>
            <w:r>
              <w:rPr>
                <w:b w:val="0"/>
                <w:sz w:val="17"/>
              </w:rPr>
              <w:t>New Building Materials &amp; Construction World</w:t>
            </w:r>
          </w:p>
        </w:tc>
        <w:tc>
          <w:tcPr>
            <w:tcW w:type="dxa" w:w="1247"/>
          </w:tcPr>
          <w:p>
            <w:pPr>
              <w:spacing w:after="20" w:line="240" w:lineRule="auto"/>
            </w:pPr>
            <w:r/>
            <w:r>
              <w:rPr>
                <w:b w:val="0"/>
                <w:color w:val="B8860B"/>
                <w:sz w:val="17"/>
              </w:rPr>
              <w:t>PARTIAL</w:t>
            </w:r>
          </w:p>
        </w:tc>
        <w:tc>
          <w:tcPr>
            <w:tcW w:type="dxa" w:w="4989"/>
          </w:tcPr>
          <w:p>
            <w:pPr>
              <w:spacing w:after="20" w:line="240" w:lineRule="auto"/>
            </w:pPr>
            <w:r/>
            <w:r>
              <w:rPr>
                <w:b w:val="0"/>
                <w:color w:val="B3261E"/>
                <w:sz w:val="17"/>
              </w:rPr>
              <w:t>Locate the article page and add the author name and publication year if shown. If no date is given, 'n.d.' is correct APA.</w:t>
            </w:r>
          </w:p>
        </w:tc>
      </w:tr>
      <w:tr>
        <w:tc>
          <w:tcPr>
            <w:tcW w:type="dxa" w:w="2835"/>
          </w:tcPr>
          <w:p>
            <w:pPr>
              <w:spacing w:after="20" w:line="240" w:lineRule="auto"/>
            </w:pPr>
            <w:r/>
            <w:r>
              <w:rPr>
                <w:b w:val="0"/>
                <w:sz w:val="17"/>
              </w:rPr>
              <w:t>Naiknavare et al. (2013)</w:t>
            </w:r>
          </w:p>
        </w:tc>
        <w:tc>
          <w:tcPr>
            <w:tcW w:type="dxa" w:w="1247"/>
          </w:tcPr>
          <w:p>
            <w:pPr>
              <w:spacing w:after="20" w:line="240" w:lineRule="auto"/>
            </w:pPr>
            <w:r/>
            <w:r>
              <w:rPr>
                <w:b w:val="0"/>
                <w:color w:val="B8860B"/>
                <w:sz w:val="17"/>
              </w:rPr>
              <w:t>PARTIAL</w:t>
            </w:r>
          </w:p>
        </w:tc>
        <w:tc>
          <w:tcPr>
            <w:tcW w:type="dxa" w:w="4989"/>
          </w:tcPr>
          <w:p>
            <w:pPr>
              <w:spacing w:after="20" w:line="240" w:lineRule="auto"/>
            </w:pPr>
            <w:r/>
            <w:r>
              <w:rPr>
                <w:b w:val="0"/>
                <w:color w:val="B3261E"/>
                <w:sz w:val="17"/>
              </w:rPr>
              <w:t>Journal name, volume and page numbers needed. Cited within the NBM&amp;CW article; find the original.</w:t>
            </w:r>
          </w:p>
        </w:tc>
      </w:tr>
      <w:tr>
        <w:tc>
          <w:tcPr>
            <w:tcW w:type="dxa" w:w="2835"/>
          </w:tcPr>
          <w:p>
            <w:pPr>
              <w:spacing w:after="20" w:line="240" w:lineRule="auto"/>
            </w:pPr>
            <w:r/>
            <w:r>
              <w:rPr>
                <w:b w:val="0"/>
                <w:sz w:val="17"/>
              </w:rPr>
              <w:t>Construction Times (2025)</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Add the full article URL if your department requires complete links.</w:t>
            </w:r>
          </w:p>
        </w:tc>
      </w:tr>
      <w:tr>
        <w:tc>
          <w:tcPr>
            <w:tcW w:type="dxa" w:w="2835"/>
          </w:tcPr>
          <w:p>
            <w:pPr>
              <w:spacing w:after="20" w:line="240" w:lineRule="auto"/>
            </w:pPr>
            <w:r/>
            <w:r>
              <w:rPr>
                <w:b w:val="0"/>
                <w:sz w:val="17"/>
              </w:rPr>
              <w:t>Possan et al. (2021) and Possan &amp; Thomaz (2025)</w:t>
            </w:r>
          </w:p>
        </w:tc>
        <w:tc>
          <w:tcPr>
            <w:tcW w:type="dxa" w:w="1247"/>
          </w:tcPr>
          <w:p>
            <w:pPr>
              <w:spacing w:after="20" w:line="240" w:lineRule="auto"/>
            </w:pPr>
            <w:r/>
            <w:r>
              <w:rPr>
                <w:b w:val="0"/>
                <w:color w:val="B8860B"/>
                <w:sz w:val="17"/>
              </w:rPr>
              <w:t>PARTIAL</w:t>
            </w:r>
          </w:p>
        </w:tc>
        <w:tc>
          <w:tcPr>
            <w:tcW w:type="dxa" w:w="4989"/>
          </w:tcPr>
          <w:p>
            <w:pPr>
              <w:spacing w:after="20" w:line="240" w:lineRule="auto"/>
            </w:pPr>
            <w:r/>
            <w:r>
              <w:rPr>
                <w:b w:val="0"/>
                <w:color w:val="B3261E"/>
                <w:sz w:val="17"/>
              </w:rPr>
              <w:t>Confirm the author list of the 2025 Modelling article; I have the journal, volume and article number but not all authors.</w:t>
            </w:r>
          </w:p>
        </w:tc>
      </w:tr>
      <w:tr>
        <w:tc>
          <w:tcPr>
            <w:tcW w:type="dxa" w:w="2835"/>
          </w:tcPr>
          <w:p>
            <w:pPr>
              <w:spacing w:after="20" w:line="240" w:lineRule="auto"/>
            </w:pPr>
            <w:r/>
            <w:r>
              <w:rPr>
                <w:b w:val="0"/>
                <w:sz w:val="17"/>
              </w:rPr>
              <w:t>Adnan &amp; Anas (2025)</w:t>
            </w:r>
          </w:p>
        </w:tc>
        <w:tc>
          <w:tcPr>
            <w:tcW w:type="dxa" w:w="1247"/>
          </w:tcPr>
          <w:p>
            <w:pPr>
              <w:spacing w:after="20" w:line="240" w:lineRule="auto"/>
            </w:pPr>
            <w:r/>
            <w:r>
              <w:rPr>
                <w:b w:val="0"/>
                <w:color w:val="0F7B4F"/>
                <w:sz w:val="17"/>
              </w:rPr>
              <w:t>VERIFIED</w:t>
            </w:r>
          </w:p>
        </w:tc>
        <w:tc>
          <w:tcPr>
            <w:tcW w:type="dxa" w:w="4989"/>
          </w:tcPr>
          <w:p>
            <w:pPr>
              <w:spacing w:after="20" w:line="240" w:lineRule="auto"/>
            </w:pPr>
            <w:r/>
            <w:r>
              <w:rPr>
                <w:b w:val="0"/>
                <w:sz w:val="17"/>
              </w:rPr>
              <w:t>No action.</w:t>
            </w:r>
          </w:p>
        </w:tc>
      </w:tr>
      <w:tr>
        <w:tc>
          <w:tcPr>
            <w:tcW w:type="dxa" w:w="2835"/>
          </w:tcPr>
          <w:p>
            <w:pPr>
              <w:spacing w:after="20" w:line="240" w:lineRule="auto"/>
            </w:pPr>
            <w:r/>
            <w:r>
              <w:rPr>
                <w:b w:val="0"/>
                <w:sz w:val="17"/>
              </w:rPr>
              <w:t>Thaarrini &amp; Dhivya (2016)</w:t>
            </w:r>
          </w:p>
        </w:tc>
        <w:tc>
          <w:tcPr>
            <w:tcW w:type="dxa" w:w="1247"/>
          </w:tcPr>
          <w:p>
            <w:pPr>
              <w:spacing w:after="20" w:line="240" w:lineRule="auto"/>
            </w:pPr>
            <w:r/>
            <w:r>
              <w:rPr>
                <w:b w:val="0"/>
                <w:color w:val="B8860B"/>
                <w:sz w:val="17"/>
              </w:rPr>
              <w:t>PARTIAL</w:t>
            </w:r>
          </w:p>
        </w:tc>
        <w:tc>
          <w:tcPr>
            <w:tcW w:type="dxa" w:w="4989"/>
          </w:tcPr>
          <w:p>
            <w:pPr>
              <w:spacing w:after="20" w:line="240" w:lineRule="auto"/>
            </w:pPr>
            <w:r/>
            <w:r>
              <w:rPr>
                <w:b w:val="0"/>
                <w:color w:val="B3261E"/>
                <w:sz w:val="17"/>
              </w:rPr>
              <w:t>Confirm volume, issue and page numbers.</w:t>
            </w:r>
          </w:p>
        </w:tc>
      </w:tr>
      <w:tr>
        <w:tc>
          <w:tcPr>
            <w:tcW w:type="dxa" w:w="2835"/>
          </w:tcPr>
          <w:p>
            <w:pPr>
              <w:spacing w:after="20" w:line="240" w:lineRule="auto"/>
            </w:pPr>
            <w:r/>
            <w:r>
              <w:rPr>
                <w:b w:val="0"/>
                <w:sz w:val="17"/>
              </w:rPr>
              <w:t>Scientific Reports, Advances in Civil Engineering, Frontiers entries</w:t>
            </w:r>
          </w:p>
        </w:tc>
        <w:tc>
          <w:tcPr>
            <w:tcW w:type="dxa" w:w="1247"/>
          </w:tcPr>
          <w:p>
            <w:pPr>
              <w:spacing w:after="20" w:line="240" w:lineRule="auto"/>
            </w:pPr>
            <w:r/>
            <w:r>
              <w:rPr>
                <w:b w:val="0"/>
                <w:color w:val="B3261E"/>
                <w:sz w:val="17"/>
              </w:rPr>
              <w:t>INCOMPLETE</w:t>
            </w:r>
          </w:p>
        </w:tc>
        <w:tc>
          <w:tcPr>
            <w:tcW w:type="dxa" w:w="4989"/>
          </w:tcPr>
          <w:p>
            <w:pPr>
              <w:spacing w:after="20" w:line="240" w:lineRule="auto"/>
            </w:pPr>
            <w:r/>
            <w:r>
              <w:rPr>
                <w:b w:val="0"/>
                <w:color w:val="B3261E"/>
                <w:sz w:val="17"/>
              </w:rPr>
              <w:t>Author names and exact titles are shown as placeholders. Open each DOI, copy the correct details, and replace. Delete any entry you do not actually cite.</w:t>
            </w:r>
          </w:p>
        </w:tc>
      </w:tr>
      <w:tr>
        <w:tc>
          <w:tcPr>
            <w:tcW w:type="dxa" w:w="2835"/>
          </w:tcPr>
          <w:p>
            <w:pPr>
              <w:spacing w:after="20" w:line="240" w:lineRule="auto"/>
            </w:pPr>
            <w:r/>
            <w:r>
              <w:rPr>
                <w:b w:val="0"/>
                <w:sz w:val="17"/>
              </w:rPr>
              <w:t>Market.us (2025)</w:t>
            </w:r>
          </w:p>
        </w:tc>
        <w:tc>
          <w:tcPr>
            <w:tcW w:type="dxa" w:w="1247"/>
          </w:tcPr>
          <w:p>
            <w:pPr>
              <w:spacing w:after="20" w:line="240" w:lineRule="auto"/>
            </w:pPr>
            <w:r/>
            <w:r>
              <w:rPr>
                <w:b w:val="0"/>
                <w:color w:val="B8860B"/>
                <w:sz w:val="17"/>
              </w:rPr>
              <w:t>PARTIAL</w:t>
            </w:r>
          </w:p>
        </w:tc>
        <w:tc>
          <w:tcPr>
            <w:tcW w:type="dxa" w:w="4989"/>
          </w:tcPr>
          <w:p>
            <w:pPr>
              <w:spacing w:after="20" w:line="240" w:lineRule="auto"/>
            </w:pPr>
            <w:r/>
            <w:r>
              <w:rPr>
                <w:b w:val="0"/>
                <w:sz w:val="17"/>
              </w:rPr>
              <w:t>Add the exact access date if your department style requires it.</w:t>
            </w:r>
          </w:p>
        </w:tc>
      </w:tr>
    </w:tbl>
    <w:p>
      <w:pPr>
        <w:spacing w:after="60"/>
      </w:pPr>
    </w:p>
    <w:p/>
    <w:tbl>
      <w:tblPr>
        <w:tblStyle w:val="TableGrid"/>
        <w:tblW w:type="auto" w:w="0"/>
        <w:tblLook w:firstColumn="1" w:firstRow="1" w:lastColumn="0" w:lastRow="0" w:noHBand="0" w:noVBand="1" w:val="04A0"/>
      </w:tblPr>
      <w:tblGrid>
        <w:gridCol w:w="9026"/>
      </w:tblGrid>
      <w:tr>
        <w:tc>
          <w:tcPr>
            <w:tcW w:type="dxa" w:w="9071"/>
            <w:shd w:val="clear" w:color="auto" w:fill="CDE6D8"/>
          </w:tcPr>
          <w:p>
            <w:pPr>
              <w:spacing w:after="60" w:line="264" w:lineRule="auto"/>
            </w:pPr>
            <w:r/>
            <w:r>
              <w:rPr>
                <w:b/>
                <w:color w:val="0F7B4F"/>
                <w:sz w:val="21"/>
              </w:rPr>
              <w:t>The fastest way to complete the bracketed entries</w:t>
            </w:r>
          </w:p>
          <w:p>
            <w:pPr>
              <w:spacing w:line="276" w:lineRule="auto"/>
              <w:jc w:val="both"/>
            </w:pPr>
            <w:r>
              <w:rPr>
                <w:sz w:val="20"/>
              </w:rPr>
              <w:t>Paste the DOI into a browser. On the article page, look for a 'Cite' or 'Export citation' button and choose APA. Copy the result and compare it with the entry here. Alternatively paste the DOI into doi2bib.org or use the citation export in Google Scholar. Each entry takes about two minutes.</w:t>
            </w:r>
          </w:p>
        </w:tc>
      </w:tr>
    </w:tbl>
    <w:p>
      <w:pPr>
        <w:spacing w:after="120"/>
      </w:pPr>
    </w:p>
    <w:p>
      <w:pPr>
        <w:pStyle w:val="Heading1"/>
      </w:pPr>
      <w:r>
        <w:t>Section 5 — APA formatting rules applied</w:t>
      </w:r>
    </w:p>
    <w:tbl>
      <w:tblPr>
        <w:tblStyle w:val="TableGrid"/>
        <w:tblW w:type="auto" w:w="0"/>
        <w:jc w:val="center"/>
        <w:tblLook w:firstColumn="1" w:firstRow="1" w:lastColumn="0" w:lastRow="0" w:noHBand="0" w:noVBand="1" w:val="04A0"/>
      </w:tblPr>
      <w:tblGrid>
        <w:gridCol w:w="4513"/>
        <w:gridCol w:w="4513"/>
      </w:tblGrid>
      <w:tr>
        <w:tc>
          <w:tcPr>
            <w:tcW w:type="dxa" w:w="2041"/>
            <w:shd w:val="clear" w:color="auto" w:fill="1F3B5C"/>
          </w:tcPr>
          <w:p>
            <w:pPr>
              <w:spacing w:line="240" w:lineRule="auto"/>
              <w:jc w:val="center"/>
            </w:pPr>
            <w:r/>
            <w:r>
              <w:rPr>
                <w:b/>
                <w:color w:val="FFFFFF"/>
                <w:sz w:val="18"/>
              </w:rPr>
              <w:t>Rule</w:t>
            </w:r>
          </w:p>
        </w:tc>
        <w:tc>
          <w:tcPr>
            <w:tcW w:type="dxa" w:w="7030"/>
            <w:shd w:val="clear" w:color="auto" w:fill="1F3B5C"/>
          </w:tcPr>
          <w:p>
            <w:pPr>
              <w:spacing w:line="240" w:lineRule="auto"/>
              <w:jc w:val="center"/>
            </w:pPr>
            <w:r/>
            <w:r>
              <w:rPr>
                <w:b/>
                <w:color w:val="FFFFFF"/>
                <w:sz w:val="18"/>
              </w:rPr>
              <w:t>How it is applied here</w:t>
            </w:r>
          </w:p>
        </w:tc>
      </w:tr>
      <w:tr>
        <w:tc>
          <w:tcPr>
            <w:tcW w:type="dxa" w:w="2041"/>
          </w:tcPr>
          <w:p>
            <w:pPr>
              <w:spacing w:after="20" w:line="240" w:lineRule="auto"/>
            </w:pPr>
            <w:r/>
            <w:r>
              <w:rPr>
                <w:b/>
                <w:sz w:val="18"/>
              </w:rPr>
              <w:t>Order</w:t>
            </w:r>
          </w:p>
        </w:tc>
        <w:tc>
          <w:tcPr>
            <w:tcW w:type="dxa" w:w="7030"/>
          </w:tcPr>
          <w:p>
            <w:pPr>
              <w:spacing w:after="20" w:line="240" w:lineRule="auto"/>
            </w:pPr>
            <w:r/>
            <w:r>
              <w:rPr>
                <w:b w:val="0"/>
                <w:sz w:val="18"/>
              </w:rPr>
              <w:t>Alphabetical by first author's surname. Ignore 'A', 'An' and 'The' when the author is an organisation.</w:t>
            </w:r>
          </w:p>
        </w:tc>
      </w:tr>
      <w:tr>
        <w:tc>
          <w:tcPr>
            <w:tcW w:type="dxa" w:w="2041"/>
          </w:tcPr>
          <w:p>
            <w:pPr>
              <w:spacing w:after="20" w:line="240" w:lineRule="auto"/>
            </w:pPr>
            <w:r/>
            <w:r>
              <w:rPr>
                <w:b/>
                <w:sz w:val="18"/>
              </w:rPr>
              <w:t>Hanging indent</w:t>
            </w:r>
          </w:p>
        </w:tc>
        <w:tc>
          <w:tcPr>
            <w:tcW w:type="dxa" w:w="7030"/>
          </w:tcPr>
          <w:p>
            <w:pPr>
              <w:spacing w:after="20" w:line="240" w:lineRule="auto"/>
            </w:pPr>
            <w:r/>
            <w:r>
              <w:rPr>
                <w:b w:val="0"/>
                <w:sz w:val="18"/>
              </w:rPr>
              <w:t>First line flush left; all following lines indented 1.27 cm (0.5 inch). Already set in this file.</w:t>
            </w:r>
          </w:p>
        </w:tc>
      </w:tr>
      <w:tr>
        <w:tc>
          <w:tcPr>
            <w:tcW w:type="dxa" w:w="2041"/>
          </w:tcPr>
          <w:p>
            <w:pPr>
              <w:spacing w:after="20" w:line="240" w:lineRule="auto"/>
            </w:pPr>
            <w:r/>
            <w:r>
              <w:rPr>
                <w:b/>
                <w:sz w:val="18"/>
              </w:rPr>
              <w:t>Spacing</w:t>
            </w:r>
          </w:p>
        </w:tc>
        <w:tc>
          <w:tcPr>
            <w:tcW w:type="dxa" w:w="7030"/>
          </w:tcPr>
          <w:p>
            <w:pPr>
              <w:spacing w:after="20" w:line="240" w:lineRule="auto"/>
            </w:pPr>
            <w:r/>
            <w:r>
              <w:rPr>
                <w:b w:val="0"/>
                <w:sz w:val="18"/>
              </w:rPr>
              <w:t>Double-spaced throughout, with no extra space between entries.</w:t>
            </w:r>
          </w:p>
        </w:tc>
      </w:tr>
      <w:tr>
        <w:tc>
          <w:tcPr>
            <w:tcW w:type="dxa" w:w="2041"/>
          </w:tcPr>
          <w:p>
            <w:pPr>
              <w:spacing w:after="20" w:line="240" w:lineRule="auto"/>
            </w:pPr>
            <w:r/>
            <w:r>
              <w:rPr>
                <w:b/>
                <w:sz w:val="18"/>
              </w:rPr>
              <w:t>Italics</w:t>
            </w:r>
          </w:p>
        </w:tc>
        <w:tc>
          <w:tcPr>
            <w:tcW w:type="dxa" w:w="7030"/>
          </w:tcPr>
          <w:p>
            <w:pPr>
              <w:spacing w:after="20" w:line="240" w:lineRule="auto"/>
            </w:pPr>
            <w:r/>
            <w:r>
              <w:rPr>
                <w:b w:val="0"/>
                <w:sz w:val="18"/>
              </w:rPr>
              <w:t>Journal names, volume numbers, book titles and report titles are italicised. Article titles are not.</w:t>
            </w:r>
          </w:p>
        </w:tc>
      </w:tr>
      <w:tr>
        <w:tc>
          <w:tcPr>
            <w:tcW w:type="dxa" w:w="2041"/>
          </w:tcPr>
          <w:p>
            <w:pPr>
              <w:spacing w:after="20" w:line="240" w:lineRule="auto"/>
            </w:pPr>
            <w:r/>
            <w:r>
              <w:rPr>
                <w:b/>
                <w:sz w:val="18"/>
              </w:rPr>
              <w:t>Capitalisation</w:t>
            </w:r>
          </w:p>
        </w:tc>
        <w:tc>
          <w:tcPr>
            <w:tcW w:type="dxa" w:w="7030"/>
          </w:tcPr>
          <w:p>
            <w:pPr>
              <w:spacing w:after="20" w:line="240" w:lineRule="auto"/>
            </w:pPr>
            <w:r/>
            <w:r>
              <w:rPr>
                <w:b w:val="0"/>
                <w:sz w:val="18"/>
              </w:rPr>
              <w:t>Article and book titles use sentence case: only the first word, proper nouns and the first word after a colon are capitalised. Journal names use title case.</w:t>
            </w:r>
          </w:p>
        </w:tc>
      </w:tr>
      <w:tr>
        <w:tc>
          <w:tcPr>
            <w:tcW w:type="dxa" w:w="2041"/>
          </w:tcPr>
          <w:p>
            <w:pPr>
              <w:spacing w:after="20" w:line="240" w:lineRule="auto"/>
            </w:pPr>
            <w:r/>
            <w:r>
              <w:rPr>
                <w:b/>
                <w:sz w:val="18"/>
              </w:rPr>
              <w:t>Authors</w:t>
            </w:r>
          </w:p>
        </w:tc>
        <w:tc>
          <w:tcPr>
            <w:tcW w:type="dxa" w:w="7030"/>
          </w:tcPr>
          <w:p>
            <w:pPr>
              <w:spacing w:after="20" w:line="240" w:lineRule="auto"/>
            </w:pPr>
            <w:r/>
            <w:r>
              <w:rPr>
                <w:b w:val="0"/>
                <w:sz w:val="18"/>
              </w:rPr>
              <w:t>Up to 20 authors are listed. For 21 or more, list the first 19, then an ellipsis, then the final author.</w:t>
            </w:r>
          </w:p>
        </w:tc>
      </w:tr>
      <w:tr>
        <w:tc>
          <w:tcPr>
            <w:tcW w:type="dxa" w:w="2041"/>
          </w:tcPr>
          <w:p>
            <w:pPr>
              <w:spacing w:after="20" w:line="240" w:lineRule="auto"/>
            </w:pPr>
            <w:r/>
            <w:r>
              <w:rPr>
                <w:b/>
                <w:sz w:val="18"/>
              </w:rPr>
              <w:t>Two authors</w:t>
            </w:r>
          </w:p>
        </w:tc>
        <w:tc>
          <w:tcPr>
            <w:tcW w:type="dxa" w:w="7030"/>
          </w:tcPr>
          <w:p>
            <w:pPr>
              <w:spacing w:after="20" w:line="240" w:lineRule="auto"/>
            </w:pPr>
            <w:r/>
            <w:r>
              <w:rPr>
                <w:b w:val="0"/>
                <w:sz w:val="18"/>
              </w:rPr>
              <w:t>Joined with an ampersand in the reference list and inside parenthetical citations; use the word 'and' in running text.</w:t>
            </w:r>
          </w:p>
        </w:tc>
      </w:tr>
      <w:tr>
        <w:tc>
          <w:tcPr>
            <w:tcW w:type="dxa" w:w="2041"/>
          </w:tcPr>
          <w:p>
            <w:pPr>
              <w:spacing w:after="20" w:line="240" w:lineRule="auto"/>
            </w:pPr>
            <w:r/>
            <w:r>
              <w:rPr>
                <w:b/>
                <w:sz w:val="18"/>
              </w:rPr>
              <w:t>Three or more</w:t>
            </w:r>
          </w:p>
        </w:tc>
        <w:tc>
          <w:tcPr>
            <w:tcW w:type="dxa" w:w="7030"/>
          </w:tcPr>
          <w:p>
            <w:pPr>
              <w:spacing w:after="20" w:line="240" w:lineRule="auto"/>
            </w:pPr>
            <w:r/>
            <w:r>
              <w:rPr>
                <w:b w:val="0"/>
                <w:sz w:val="18"/>
              </w:rPr>
              <w:t>In-text becomes 'Deb et al. (2002)' from the first citation onwards.</w:t>
            </w:r>
          </w:p>
        </w:tc>
      </w:tr>
      <w:tr>
        <w:tc>
          <w:tcPr>
            <w:tcW w:type="dxa" w:w="2041"/>
          </w:tcPr>
          <w:p>
            <w:pPr>
              <w:spacing w:after="20" w:line="240" w:lineRule="auto"/>
            </w:pPr>
            <w:r/>
            <w:r>
              <w:rPr>
                <w:b/>
                <w:sz w:val="18"/>
              </w:rPr>
              <w:t>DOI</w:t>
            </w:r>
          </w:p>
        </w:tc>
        <w:tc>
          <w:tcPr>
            <w:tcW w:type="dxa" w:w="7030"/>
          </w:tcPr>
          <w:p>
            <w:pPr>
              <w:spacing w:after="20" w:line="240" w:lineRule="auto"/>
            </w:pPr>
            <w:r/>
            <w:r>
              <w:rPr>
                <w:b w:val="0"/>
                <w:sz w:val="18"/>
              </w:rPr>
              <w:t>Presented as a full https://doi.org/ link, with no full stop after.</w:t>
            </w:r>
          </w:p>
        </w:tc>
      </w:tr>
      <w:tr>
        <w:tc>
          <w:tcPr>
            <w:tcW w:type="dxa" w:w="2041"/>
          </w:tcPr>
          <w:p>
            <w:pPr>
              <w:spacing w:after="20" w:line="240" w:lineRule="auto"/>
            </w:pPr>
            <w:r/>
            <w:r>
              <w:rPr>
                <w:b/>
                <w:sz w:val="18"/>
              </w:rPr>
              <w:t>Standards</w:t>
            </w:r>
          </w:p>
        </w:tc>
        <w:tc>
          <w:tcPr>
            <w:tcW w:type="dxa" w:w="7030"/>
          </w:tcPr>
          <w:p>
            <w:pPr>
              <w:spacing w:after="20" w:line="240" w:lineRule="auto"/>
            </w:pPr>
            <w:r/>
            <w:r>
              <w:rPr>
                <w:b w:val="0"/>
                <w:sz w:val="18"/>
              </w:rPr>
              <w:t>Treated as reports: organisation as author, year, italicised title, designation in parentheses.</w:t>
            </w:r>
          </w:p>
        </w:tc>
      </w:tr>
      <w:tr>
        <w:tc>
          <w:tcPr>
            <w:tcW w:type="dxa" w:w="2041"/>
          </w:tcPr>
          <w:p>
            <w:pPr>
              <w:spacing w:after="20" w:line="240" w:lineRule="auto"/>
            </w:pPr>
            <w:r/>
            <w:r>
              <w:rPr>
                <w:b/>
                <w:sz w:val="18"/>
              </w:rPr>
              <w:t>Datasets</w:t>
            </w:r>
          </w:p>
        </w:tc>
        <w:tc>
          <w:tcPr>
            <w:tcW w:type="dxa" w:w="7030"/>
          </w:tcPr>
          <w:p>
            <w:pPr>
              <w:spacing w:after="20" w:line="240" w:lineRule="auto"/>
            </w:pPr>
            <w:r/>
            <w:r>
              <w:rPr>
                <w:b w:val="0"/>
                <w:sz w:val="18"/>
              </w:rPr>
              <w:t>Marked with '[Data set]' after the title, per APA 7th edition.</w:t>
            </w:r>
          </w:p>
        </w:tc>
      </w:tr>
      <w:tr>
        <w:tc>
          <w:tcPr>
            <w:tcW w:type="dxa" w:w="2041"/>
          </w:tcPr>
          <w:p>
            <w:pPr>
              <w:spacing w:after="20" w:line="240" w:lineRule="auto"/>
            </w:pPr>
            <w:r/>
            <w:r>
              <w:rPr>
                <w:b/>
                <w:sz w:val="18"/>
              </w:rPr>
              <w:t>No date</w:t>
            </w:r>
          </w:p>
        </w:tc>
        <w:tc>
          <w:tcPr>
            <w:tcW w:type="dxa" w:w="7030"/>
          </w:tcPr>
          <w:p>
            <w:pPr>
              <w:spacing w:after="20" w:line="240" w:lineRule="auto"/>
            </w:pPr>
            <w:r/>
            <w:r>
              <w:rPr>
                <w:b w:val="0"/>
                <w:sz w:val="18"/>
              </w:rPr>
              <w:t>Use 'n.d.' where no publication year is given.</w:t>
            </w:r>
          </w:p>
        </w:tc>
      </w:tr>
    </w:tbl>
    <w:p>
      <w:pPr>
        <w:spacing w:after="60"/>
      </w:pPr>
    </w:p>
    <w:p/>
    <w:p>
      <w:pPr>
        <w:spacing w:line="276" w:lineRule="auto" w:after="120"/>
        <w:jc w:val="center"/>
      </w:pPr>
      <w:r>
        <w:rPr>
          <w:b w:val="0"/>
          <w:i/>
          <w:color w:val="5D6B7A"/>
          <w:sz w:val="18"/>
        </w:rPr>
        <w:t>Prepared for insertion into C1_C4_C5_Methodology_Explained.docx.</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A"/>
        <w:sz w:val="16"/>
      </w:rPr>
      <w:t xml:space="preserve">References (APA 7th edition) — C1, C4, C5 Methodology   |   Page </w:t>
    </w:r>
    <w:r>
      <w:rPr>
        <w:color w:val="5D6B7A"/>
        <w:sz w:val="16"/>
      </w:rPr>
      <w:fldChar w:fldCharType="begin"/>
      <w:instrText xml:space="preserve">PAGE</w:instrText>
      <w:fldChar w:fldCharType="separate"/>
      <w:fldChar w:fldCharType="end"/>
    </w:r>
    <w:r>
      <w:rPr>
        <w:color w:val="5D6B7A"/>
        <w:sz w:val="16"/>
      </w:rPr>
      <w:t xml:space="preserve"> of </w:t>
    </w:r>
    <w:r>
      <w:rPr>
        <w:color w:val="5D6B7A"/>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b/>
      <w:bCs/>
      <w:color w:val="1F3B5C"/>
      <w:sz w:val="28"/>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b/>
      <w:bCs/>
      <w:color w:val="1F3B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