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Times New Roman" w:hAnsi="Times New Roman"/>
          <w:b/>
          <w:color w:val="000050"/>
          <w:sz w:val="40"/>
        </w:rPr>
        <w:t>Photon Scattering Density (PSD) Analysis</w:t>
        <w:br/>
        <w:t>of Alkali-Activated Mortars</w:t>
      </w:r>
    </w:p>
    <w:p>
      <w:pPr>
        <w:jc w:val="center"/>
      </w:pPr>
      <w:r>
        <w:rPr>
          <w:rFonts w:ascii="Times New Roman" w:hAnsi="Times New Roman"/>
          <w:i/>
          <w:color w:val="505050"/>
          <w:sz w:val="26"/>
        </w:rPr>
        <w:t>Complete Explanations, Mix-wise Logical Reasoning,</w:t>
        <w:br/>
        <w:t>and Scatter Diagram Analysis</w:t>
        <w:br/>
        <w:t>(Peak Intensity &amp; Integrated Area Methods)</w:t>
      </w:r>
    </w:p>
    <w:p/>
    <w:p>
      <w:pPr>
        <w:spacing w:after="120"/>
        <w:jc w:val="center"/>
      </w:pPr>
      <w:r>
        <w:rPr>
          <w:rFonts w:ascii="Times New Roman" w:hAnsi="Times New Roman"/>
          <w:b w:val="0"/>
          <w:i w:val="0"/>
          <w:sz w:val="22"/>
        </w:rPr>
        <w:t>Pratik Kanungo, Anush K. Chandrappa, Dinakar Pasla</w:t>
        <w:br/>
        <w:t>School of Infrastructure, IIT Bhubaneswar, Odisha, 752050, India</w:t>
      </w:r>
    </w:p>
    <w:p/>
    <w:p>
      <w:pPr>
        <w:spacing w:after="120"/>
        <w:jc w:val="center"/>
      </w:pPr>
      <w:r>
        <w:rPr>
          <w:rFonts w:ascii="Times New Roman" w:hAnsi="Times New Roman"/>
          <w:b w:val="0"/>
          <w:i/>
          <w:color w:val="787878"/>
          <w:sz w:val="20"/>
        </w:rPr>
        <w:t>29 July 2026</w:t>
      </w:r>
    </w:p>
    <w:p>
      <w:r>
        <w:br w:type="page"/>
      </w:r>
    </w:p>
    <w:p>
      <w:pPr>
        <w:pStyle w:val="Heading1"/>
      </w:pPr>
      <w:r>
        <w:rPr>
          <w:rFonts w:ascii="Times New Roman" w:hAnsi="Times New Roman"/>
          <w:color w:val="000050"/>
        </w:rPr>
        <w:t>Table of Contents</w:t>
      </w:r>
    </w:p>
    <w:p>
      <w:pPr>
        <w:spacing w:after="120"/>
      </w:pPr>
      <w:r>
        <w:rPr>
          <w:rFonts w:ascii="Times New Roman" w:hAnsi="Times New Roman"/>
          <w:b w:val="0"/>
          <w:i w:val="0"/>
          <w:sz w:val="18"/>
        </w:rPr>
        <w:t>1. PSD Definitions and Measurement Methodology</w:t>
      </w:r>
    </w:p>
    <w:p>
      <w:pPr>
        <w:spacing w:after="120"/>
      </w:pPr>
      <w:r>
        <w:rPr>
          <w:rFonts w:ascii="Times New Roman" w:hAnsi="Times New Roman"/>
          <w:b w:val="0"/>
          <w:i w:val="0"/>
          <w:sz w:val="18"/>
        </w:rPr>
        <w:t>2. Peak Intensity PSD — Values and Mix-wise Reasoning</w:t>
      </w:r>
    </w:p>
    <w:p>
      <w:pPr>
        <w:spacing w:after="120"/>
      </w:pPr>
      <w:r>
        <w:rPr>
          <w:rFonts w:ascii="Times New Roman" w:hAnsi="Times New Roman"/>
          <w:b w:val="0"/>
          <w:i w:val="0"/>
          <w:sz w:val="18"/>
        </w:rPr>
        <w:t xml:space="preserve">   2.1 L01 — Incomplete Reaction; Low Activator</w:t>
      </w:r>
    </w:p>
    <w:p>
      <w:pPr>
        <w:spacing w:after="120"/>
      </w:pPr>
      <w:r>
        <w:rPr>
          <w:rFonts w:ascii="Times New Roman" w:hAnsi="Times New Roman"/>
          <w:b w:val="0"/>
          <w:i w:val="0"/>
          <w:sz w:val="18"/>
        </w:rPr>
        <w:t xml:space="preserve">   2.2 L02 — Moderate Activator; Improved Polymerization</w:t>
      </w:r>
    </w:p>
    <w:p>
      <w:pPr>
        <w:spacing w:after="120"/>
      </w:pPr>
      <w:r>
        <w:rPr>
          <w:rFonts w:ascii="Times New Roman" w:hAnsi="Times New Roman"/>
          <w:b w:val="0"/>
          <w:i w:val="0"/>
          <w:sz w:val="18"/>
        </w:rPr>
        <w:t xml:space="preserve">   2.3 L03 — Highest Activator; Hybrid NASH/CASH Network</w:t>
      </w:r>
    </w:p>
    <w:p>
      <w:pPr>
        <w:spacing w:after="120"/>
      </w:pPr>
      <w:r>
        <w:rPr>
          <w:rFonts w:ascii="Times New Roman" w:hAnsi="Times New Roman"/>
          <w:b w:val="0"/>
          <w:i w:val="0"/>
          <w:sz w:val="18"/>
        </w:rPr>
        <w:t xml:space="preserve">   2.4 L04 — Balanced Precursor; Efficient Dissolution</w:t>
      </w:r>
    </w:p>
    <w:p>
      <w:pPr>
        <w:spacing w:after="120"/>
      </w:pPr>
      <w:r>
        <w:rPr>
          <w:rFonts w:ascii="Times New Roman" w:hAnsi="Times New Roman"/>
          <w:b w:val="0"/>
          <w:i w:val="0"/>
          <w:sz w:val="18"/>
        </w:rPr>
        <w:t xml:space="preserve">   2.5 L05 — High Alkalinity; NASH-Dominated Gel</w:t>
      </w:r>
    </w:p>
    <w:p>
      <w:pPr>
        <w:spacing w:after="120"/>
      </w:pPr>
      <w:r>
        <w:rPr>
          <w:rFonts w:ascii="Times New Roman" w:hAnsi="Times New Roman"/>
          <w:b w:val="0"/>
          <w:i w:val="0"/>
          <w:sz w:val="18"/>
        </w:rPr>
        <w:t xml:space="preserve">   2.6 L06 — Limited Dissolution from Low NaOH Molarity</w:t>
      </w:r>
    </w:p>
    <w:p>
      <w:pPr>
        <w:spacing w:after="120"/>
      </w:pPr>
      <w:r>
        <w:rPr>
          <w:rFonts w:ascii="Times New Roman" w:hAnsi="Times New Roman"/>
          <w:b w:val="0"/>
          <w:i w:val="0"/>
          <w:sz w:val="18"/>
        </w:rPr>
        <w:t xml:space="preserve">   2.7 L07 — Zero Gel Formation; Silica-Rich Crystalline Matrix</w:t>
      </w:r>
    </w:p>
    <w:p>
      <w:pPr>
        <w:spacing w:after="120"/>
      </w:pPr>
      <w:r>
        <w:rPr>
          <w:rFonts w:ascii="Times New Roman" w:hAnsi="Times New Roman"/>
          <w:b w:val="0"/>
          <w:i w:val="0"/>
          <w:sz w:val="18"/>
        </w:rPr>
        <w:t xml:space="preserve">   2.8 L08 — Heterogeneous; Na-Rich Segregation</w:t>
      </w:r>
    </w:p>
    <w:p>
      <w:pPr>
        <w:spacing w:after="120"/>
      </w:pPr>
      <w:r>
        <w:rPr>
          <w:rFonts w:ascii="Times New Roman" w:hAnsi="Times New Roman"/>
          <w:b w:val="0"/>
          <w:i w:val="0"/>
          <w:sz w:val="18"/>
        </w:rPr>
        <w:t xml:space="preserve">   2.9 L09 — Balanced Polymerization; Moderate Performance</w:t>
      </w:r>
    </w:p>
    <w:p>
      <w:pPr>
        <w:spacing w:after="120"/>
      </w:pPr>
      <w:r>
        <w:rPr>
          <w:rFonts w:ascii="Times New Roman" w:hAnsi="Times New Roman"/>
          <w:b w:val="0"/>
          <w:i w:val="0"/>
          <w:sz w:val="18"/>
        </w:rPr>
        <w:t>3. Integrated Area PSD — Values and Mix-wise Reasoning</w:t>
      </w:r>
    </w:p>
    <w:p>
      <w:pPr>
        <w:spacing w:after="120"/>
      </w:pPr>
      <w:r>
        <w:rPr>
          <w:rFonts w:ascii="Times New Roman" w:hAnsi="Times New Roman"/>
          <w:b w:val="0"/>
          <w:i w:val="0"/>
          <w:sz w:val="18"/>
        </w:rPr>
        <w:t>4. Scatter Diagram Analysis</w:t>
      </w:r>
    </w:p>
    <w:p>
      <w:pPr>
        <w:spacing w:after="120"/>
      </w:pPr>
      <w:r>
        <w:rPr>
          <w:rFonts w:ascii="Times New Roman" w:hAnsi="Times New Roman"/>
          <w:b w:val="0"/>
          <w:i w:val="0"/>
          <w:sz w:val="18"/>
        </w:rPr>
        <w:t xml:space="preserve">   4.1 CS vs Amorphous PSD (Peak Intensity)</w:t>
      </w:r>
    </w:p>
    <w:p>
      <w:pPr>
        <w:spacing w:after="120"/>
      </w:pPr>
      <w:r>
        <w:rPr>
          <w:rFonts w:ascii="Times New Roman" w:hAnsi="Times New Roman"/>
          <w:b w:val="0"/>
          <w:i w:val="0"/>
          <w:sz w:val="18"/>
        </w:rPr>
        <w:t xml:space="preserve">   4.2 CS vs Amorphous PSD (Integrated Area)</w:t>
      </w:r>
    </w:p>
    <w:p>
      <w:pPr>
        <w:spacing w:after="120"/>
      </w:pPr>
      <w:r>
        <w:rPr>
          <w:rFonts w:ascii="Times New Roman" w:hAnsi="Times New Roman"/>
          <w:b w:val="0"/>
          <w:i w:val="0"/>
          <w:sz w:val="18"/>
        </w:rPr>
        <w:t xml:space="preserve">   4.3 CS vs Crystalline PSD</w:t>
      </w:r>
    </w:p>
    <w:p>
      <w:pPr>
        <w:spacing w:after="120"/>
      </w:pPr>
      <w:r>
        <w:rPr>
          <w:rFonts w:ascii="Times New Roman" w:hAnsi="Times New Roman"/>
          <w:b w:val="0"/>
          <w:i w:val="0"/>
          <w:sz w:val="18"/>
        </w:rPr>
        <w:t xml:space="preserve">   4.4 Total PSD vs CS — The Deconvolution Proof</w:t>
      </w:r>
    </w:p>
    <w:p>
      <w:pPr>
        <w:spacing w:after="120"/>
      </w:pPr>
      <w:r>
        <w:rPr>
          <w:rFonts w:ascii="Times New Roman" w:hAnsi="Times New Roman"/>
          <w:b w:val="0"/>
          <w:i w:val="0"/>
          <w:sz w:val="18"/>
        </w:rPr>
        <w:t xml:space="preserve">   4.5 IA vs PI Method Comparison</w:t>
      </w:r>
    </w:p>
    <w:p>
      <w:pPr>
        <w:spacing w:after="120"/>
      </w:pPr>
      <w:r>
        <w:rPr>
          <w:rFonts w:ascii="Times New Roman" w:hAnsi="Times New Roman"/>
          <w:b w:val="0"/>
          <w:i w:val="0"/>
          <w:sz w:val="18"/>
        </w:rPr>
        <w:t xml:space="preserve">   4.6 Amorphous Fraction vs CS</w:t>
      </w:r>
    </w:p>
    <w:p>
      <w:pPr>
        <w:spacing w:after="120"/>
      </w:pPr>
      <w:r>
        <w:rPr>
          <w:rFonts w:ascii="Times New Roman" w:hAnsi="Times New Roman"/>
          <w:b w:val="0"/>
          <w:i w:val="0"/>
          <w:sz w:val="18"/>
        </w:rPr>
        <w:t xml:space="preserve">   4.7 NASH vs CASH Gel Bubble Chart</w:t>
      </w:r>
    </w:p>
    <w:p>
      <w:pPr>
        <w:spacing w:after="120"/>
      </w:pPr>
      <w:r>
        <w:rPr>
          <w:rFonts w:ascii="Times New Roman" w:hAnsi="Times New Roman"/>
          <w:b w:val="0"/>
          <w:i w:val="0"/>
          <w:sz w:val="18"/>
        </w:rPr>
        <w:t xml:space="preserve">   4.8 Correlation Bar Chart — All PSD Components</w:t>
      </w:r>
    </w:p>
    <w:p>
      <w:pPr>
        <w:spacing w:after="120"/>
      </w:pPr>
      <w:r>
        <w:rPr>
          <w:rFonts w:ascii="Times New Roman" w:hAnsi="Times New Roman"/>
          <w:b w:val="0"/>
          <w:i w:val="0"/>
          <w:sz w:val="18"/>
        </w:rPr>
        <w:t>5. Scatter Plot Data Tables (R-squared Analysis)</w:t>
      </w:r>
    </w:p>
    <w:p>
      <w:pPr>
        <w:spacing w:after="120"/>
      </w:pPr>
      <w:r>
        <w:rPr>
          <w:rFonts w:ascii="Times New Roman" w:hAnsi="Times New Roman"/>
          <w:b w:val="0"/>
          <w:i w:val="0"/>
          <w:sz w:val="18"/>
        </w:rPr>
        <w:t>6. Three-Stage Mechanistic Model</w:t>
      </w:r>
    </w:p>
    <w:p>
      <w:pPr>
        <w:spacing w:after="120"/>
      </w:pPr>
      <w:r>
        <w:rPr>
          <w:rFonts w:ascii="Times New Roman" w:hAnsi="Times New Roman"/>
          <w:b w:val="0"/>
          <w:i w:val="0"/>
          <w:sz w:val="18"/>
        </w:rPr>
        <w:t>7. Conclusions</w:t>
      </w:r>
    </w:p>
    <w:p>
      <w:pPr>
        <w:spacing w:after="120"/>
      </w:pPr>
      <w:r>
        <w:rPr>
          <w:rFonts w:ascii="Times New Roman" w:hAnsi="Times New Roman"/>
          <w:b w:val="0"/>
          <w:i w:val="0"/>
          <w:sz w:val="18"/>
        </w:rPr>
        <w:t>8. References (APA Format)</w:t>
      </w:r>
    </w:p>
    <w:p>
      <w:r>
        <w:br w:type="page"/>
      </w:r>
    </w:p>
    <w:p>
      <w:pPr>
        <w:pStyle w:val="Heading1"/>
      </w:pPr>
      <w:r>
        <w:rPr>
          <w:rFonts w:ascii="Times New Roman" w:hAnsi="Times New Roman"/>
          <w:color w:val="000050"/>
        </w:rPr>
        <w:t>1. PSD Definitions and Measurement Methodology</w:t>
      </w:r>
    </w:p>
    <w:p>
      <w:pPr>
        <w:spacing w:after="120"/>
      </w:pPr>
      <w:r>
        <w:rPr>
          <w:rFonts w:ascii="Times New Roman" w:hAnsi="Times New Roman"/>
          <w:b/>
          <w:i w:val="0"/>
          <w:sz w:val="24"/>
        </w:rPr>
        <w:t>1.1 Peak Intensity PSD (PI-PSD)</w:t>
      </w:r>
    </w:p>
    <w:p>
      <w:pPr>
        <w:spacing w:after="120"/>
      </w:pPr>
      <w:r>
        <w:rPr>
          <w:rFonts w:ascii="Times New Roman" w:hAnsi="Times New Roman"/>
          <w:b w:val="0"/>
          <w:i w:val="0"/>
          <w:sz w:val="20"/>
        </w:rPr>
        <w:t>The Peak Intensity Photon Scattering Density is defined as the summation of the maximum intensities (peak heights) of all characteristic diffraction peaks assigned to a given crystalline phase, extracted from the background-subtracted XRD diffractogram. Mathematically:</w:t>
      </w:r>
    </w:p>
    <w:p>
      <w:pPr>
        <w:spacing w:after="120"/>
      </w:pPr>
      <w:r>
        <w:rPr>
          <w:rFonts w:ascii="Times New Roman" w:hAnsi="Times New Roman"/>
          <w:b w:val="0"/>
          <w:i/>
          <w:sz w:val="20"/>
        </w:rPr>
        <w:t xml:space="preserve">    PSD_phase^PI = Σ I_k^max</w:t>
      </w:r>
    </w:p>
    <w:p>
      <w:pPr>
        <w:spacing w:after="120"/>
      </w:pPr>
      <w:r>
        <w:rPr>
          <w:rFonts w:ascii="Times New Roman" w:hAnsi="Times New Roman"/>
          <w:b w:val="0"/>
          <w:i w:val="0"/>
          <w:sz w:val="20"/>
        </w:rPr>
        <w:t>where I_k^max is the measured intensity at the apex of the k-th characteristic diffraction peak. PI-PSD values are expressed in arbitrary units (a.u.) and are directly proportional to the amount of crystalline phase present under identical diffraction conditions (Cullity &amp; Stock, 2014). This method is rapid and straightforward but sensitive to crystallite size (smaller crystallites produce broader, shorter peaks for the same total diffracting volume), lattice microstrain, and preferred orientation effects.</w:t>
      </w:r>
    </w:p>
    <w:p>
      <w:pPr>
        <w:spacing w:after="120"/>
      </w:pPr>
      <w:r>
        <w:rPr>
          <w:rFonts w:ascii="Times New Roman" w:hAnsi="Times New Roman"/>
          <w:b/>
          <w:i w:val="0"/>
          <w:sz w:val="24"/>
        </w:rPr>
        <w:t>1.2 Integrated Area PSD (IA-PSD)</w:t>
      </w:r>
    </w:p>
    <w:p>
      <w:pPr>
        <w:spacing w:after="120"/>
      </w:pPr>
      <w:r>
        <w:rPr>
          <w:rFonts w:ascii="Times New Roman" w:hAnsi="Times New Roman"/>
          <w:b w:val="0"/>
          <w:i w:val="0"/>
          <w:sz w:val="20"/>
        </w:rPr>
        <w:t>The Integrated Area Photon Scattering Density is defined as the summation of the total area under each characteristic diffraction peak, obtained by numerical integration of the background-corrected intensity profile. Mathematically:</w:t>
      </w:r>
    </w:p>
    <w:p>
      <w:pPr>
        <w:spacing w:after="120"/>
      </w:pPr>
      <w:r>
        <w:rPr>
          <w:rFonts w:ascii="Times New Roman" w:hAnsi="Times New Roman"/>
          <w:b w:val="0"/>
          <w:i/>
          <w:sz w:val="20"/>
        </w:rPr>
        <w:t xml:space="preserve">    PSD_phase^IA = Σ ∫ I_bg-sub(2θ) d(2θ)</w:t>
      </w:r>
    </w:p>
    <w:p>
      <w:pPr>
        <w:spacing w:after="120"/>
      </w:pPr>
      <w:r>
        <w:rPr>
          <w:rFonts w:ascii="Times New Roman" w:hAnsi="Times New Roman"/>
          <w:b w:val="0"/>
          <w:i w:val="0"/>
          <w:sz w:val="20"/>
        </w:rPr>
        <w:t>The integration is performed over the full peak profile of each characteristic reflection from baseline to baseline. IA-PSD values are also expressed in arbitrary units (a.u.). As established by Klug and Alexander (1974, p. 366), integrated intensities are proportional to the total diffracting volume of the phase and are independent of crystallite size and microstrain effects. For this reason, the IA-PSD is the recommended primary quantification method, with PI-PSD serving as a complementary rapid screening tool.</w:t>
      </w:r>
    </w:p>
    <w:p>
      <w:pPr>
        <w:spacing w:after="120"/>
      </w:pPr>
      <w:r>
        <w:rPr>
          <w:rFonts w:ascii="Times New Roman" w:hAnsi="Times New Roman"/>
          <w:b/>
          <w:i w:val="0"/>
          <w:sz w:val="24"/>
        </w:rPr>
        <w:t>1.3 Amorphous Gel PSD</w:t>
      </w:r>
    </w:p>
    <w:p>
      <w:pPr>
        <w:spacing w:after="120"/>
      </w:pPr>
      <w:r>
        <w:rPr>
          <w:rFonts w:ascii="Times New Roman" w:hAnsi="Times New Roman"/>
          <w:b w:val="0"/>
          <w:i w:val="0"/>
          <w:sz w:val="20"/>
        </w:rPr>
        <w:t>The amorphous gel PSD for N-A-S-H and C-A-S-H was obtained through deconvolution of the broad diffuse hump in the 20-40 degree 2-theta region. The N-A-S-H gel maximum appears near 27-31 degrees 2-theta and the C-A-S-H gel maximum near 29-36 degrees 2-theta (Criado et al., 2007; Garcia-Lodeiro et al., 2011). A semi-empirical gel partition model, anchored to the directly measured NASH PSD of mix L04 (3,228 a.u. Integrated Area), was employed to estimate gel contributions across all nine mix designations. The model uses EDS-derived chemistry (Na/Al and Ca/Si ratios) and precursor composition (FA:GGBS ratio) to partition the total amorphous PSD between the two gel types, as described fully in the manuscript methodology section.</w:t>
      </w:r>
    </w:p>
    <w:p>
      <w:pPr>
        <w:spacing w:after="120"/>
      </w:pPr>
      <w:r>
        <w:rPr>
          <w:rFonts w:ascii="Times New Roman" w:hAnsi="Times New Roman"/>
          <w:b/>
          <w:i w:val="0"/>
          <w:sz w:val="24"/>
        </w:rPr>
        <w:t>1.4 Terminology Note</w:t>
      </w:r>
    </w:p>
    <w:p>
      <w:pPr>
        <w:spacing w:after="120"/>
      </w:pPr>
      <w:r>
        <w:rPr>
          <w:rFonts w:ascii="Times New Roman" w:hAnsi="Times New Roman"/>
          <w:b w:val="0"/>
          <w:i w:val="0"/>
          <w:sz w:val="20"/>
        </w:rPr>
        <w:t>In the manuscript, the table labelled "Peak PSD Values" (Table 8) contains the Integrated Area values (the summed peak areas), while the companion table with smaller numerical values contains the Peak Intensity values (the summed peak heights). This document follows the physical meaning of each set of values: the larger values are referred to as "Integrated Area PSD (IA)" and the smaller values as "Peak Intensity PSD (PI)." The correlation between the two methods is strong, with IA/PI ratios of approximately 7.8 (Quartz), 20.0 (Mullite), and 7.0 (Calcite), reflecting the different crystallite sizes of these phases in fly ash.</w:t>
      </w:r>
    </w:p>
    <w:p>
      <w:r>
        <w:br w:type="page"/>
      </w:r>
    </w:p>
    <w:p>
      <w:pPr>
        <w:pStyle w:val="Heading1"/>
      </w:pPr>
      <w:r>
        <w:rPr>
          <w:rFonts w:ascii="Times New Roman" w:hAnsi="Times New Roman"/>
          <w:color w:val="000050"/>
        </w:rPr>
        <w:t>2. Peak Intensity PSD — Values and Mix-wise Logical Reasoning</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680"/>
            <w:shd w:fill="003366"/>
          </w:tcPr>
          <w:p>
            <w:pPr>
              <w:spacing w:before="20" w:after="20"/>
              <w:jc w:val="center"/>
            </w:pPr>
            <w:r/>
            <w:r>
              <w:rPr>
                <w:rFonts w:ascii="Times New Roman" w:hAnsi="Times New Roman"/>
                <w:b/>
                <w:color w:val="FFFFFF"/>
                <w:sz w:val="18"/>
              </w:rPr>
              <w:t>Mix</w:t>
            </w:r>
          </w:p>
        </w:tc>
        <w:tc>
          <w:tcPr>
            <w:tcW w:type="dxa" w:w="794"/>
            <w:shd w:fill="003366"/>
          </w:tcPr>
          <w:p>
            <w:pPr>
              <w:spacing w:before="20" w:after="20"/>
              <w:jc w:val="center"/>
            </w:pPr>
            <w:r/>
            <w:r>
              <w:rPr>
                <w:rFonts w:ascii="Times New Roman" w:hAnsi="Times New Roman"/>
                <w:b/>
                <w:color w:val="FFFFFF"/>
                <w:sz w:val="18"/>
              </w:rPr>
              <w:t>Quartz PI</w:t>
            </w:r>
          </w:p>
        </w:tc>
        <w:tc>
          <w:tcPr>
            <w:tcW w:type="dxa" w:w="794"/>
            <w:shd w:fill="003366"/>
          </w:tcPr>
          <w:p>
            <w:pPr>
              <w:spacing w:before="20" w:after="20"/>
              <w:jc w:val="center"/>
            </w:pPr>
            <w:r/>
            <w:r>
              <w:rPr>
                <w:rFonts w:ascii="Times New Roman" w:hAnsi="Times New Roman"/>
                <w:b/>
                <w:color w:val="FFFFFF"/>
                <w:sz w:val="18"/>
              </w:rPr>
              <w:t>Mullite PI</w:t>
            </w:r>
          </w:p>
        </w:tc>
        <w:tc>
          <w:tcPr>
            <w:tcW w:type="dxa" w:w="794"/>
            <w:shd w:fill="003366"/>
          </w:tcPr>
          <w:p>
            <w:pPr>
              <w:spacing w:before="20" w:after="20"/>
              <w:jc w:val="center"/>
            </w:pPr>
            <w:r/>
            <w:r>
              <w:rPr>
                <w:rFonts w:ascii="Times New Roman" w:hAnsi="Times New Roman"/>
                <w:b/>
                <w:color w:val="FFFFFF"/>
                <w:sz w:val="18"/>
              </w:rPr>
              <w:t>Calcite PI</w:t>
            </w:r>
          </w:p>
        </w:tc>
        <w:tc>
          <w:tcPr>
            <w:tcW w:type="dxa" w:w="794"/>
            <w:shd w:fill="003366"/>
          </w:tcPr>
          <w:p>
            <w:pPr>
              <w:spacing w:before="20" w:after="20"/>
              <w:jc w:val="center"/>
            </w:pPr>
            <w:r/>
            <w:r>
              <w:rPr>
                <w:rFonts w:ascii="Times New Roman" w:hAnsi="Times New Roman"/>
                <w:b/>
                <w:color w:val="FFFFFF"/>
                <w:sz w:val="18"/>
              </w:rPr>
              <w:t>Cryst. Total</w:t>
            </w:r>
          </w:p>
        </w:tc>
        <w:tc>
          <w:tcPr>
            <w:tcW w:type="dxa" w:w="794"/>
            <w:shd w:fill="003366"/>
          </w:tcPr>
          <w:p>
            <w:pPr>
              <w:spacing w:before="20" w:after="20"/>
              <w:jc w:val="center"/>
            </w:pPr>
            <w:r/>
            <w:r>
              <w:rPr>
                <w:rFonts w:ascii="Times New Roman" w:hAnsi="Times New Roman"/>
                <w:b/>
                <w:color w:val="FFFFFF"/>
                <w:sz w:val="18"/>
              </w:rPr>
              <w:t>NASH PI</w:t>
            </w:r>
          </w:p>
        </w:tc>
        <w:tc>
          <w:tcPr>
            <w:tcW w:type="dxa" w:w="737"/>
            <w:shd w:fill="003366"/>
          </w:tcPr>
          <w:p>
            <w:pPr>
              <w:spacing w:before="20" w:after="20"/>
              <w:jc w:val="center"/>
            </w:pPr>
            <w:r/>
            <w:r>
              <w:rPr>
                <w:rFonts w:ascii="Times New Roman" w:hAnsi="Times New Roman"/>
                <w:b/>
                <w:color w:val="FFFFFF"/>
                <w:sz w:val="18"/>
              </w:rPr>
              <w:t>CASH PI</w:t>
            </w:r>
          </w:p>
        </w:tc>
        <w:tc>
          <w:tcPr>
            <w:tcW w:type="dxa" w:w="794"/>
            <w:shd w:fill="003366"/>
          </w:tcPr>
          <w:p>
            <w:pPr>
              <w:spacing w:before="20" w:after="20"/>
              <w:jc w:val="center"/>
            </w:pPr>
            <w:r/>
            <w:r>
              <w:rPr>
                <w:rFonts w:ascii="Times New Roman" w:hAnsi="Times New Roman"/>
                <w:b/>
                <w:color w:val="FFFFFF"/>
                <w:sz w:val="18"/>
              </w:rPr>
              <w:t>Amor. Total</w:t>
            </w:r>
          </w:p>
        </w:tc>
        <w:tc>
          <w:tcPr>
            <w:tcW w:type="dxa" w:w="850"/>
            <w:shd w:fill="003366"/>
          </w:tcPr>
          <w:p>
            <w:pPr>
              <w:spacing w:before="20" w:after="20"/>
              <w:jc w:val="center"/>
            </w:pPr>
            <w:r/>
            <w:r>
              <w:rPr>
                <w:rFonts w:ascii="Times New Roman" w:hAnsi="Times New Roman"/>
                <w:b/>
                <w:color w:val="FFFFFF"/>
                <w:sz w:val="18"/>
              </w:rPr>
              <w:t>CUMUL. PSD</w:t>
            </w:r>
          </w:p>
        </w:tc>
      </w:tr>
      <w:tr>
        <w:tc>
          <w:tcPr>
            <w:tcW w:type="dxa" w:w="680"/>
          </w:tcPr>
          <w:p>
            <w:pPr>
              <w:spacing w:before="20" w:after="20"/>
              <w:jc w:val="center"/>
            </w:pPr>
            <w:r/>
            <w:r>
              <w:rPr>
                <w:rFonts w:ascii="Times New Roman" w:hAnsi="Times New Roman"/>
                <w:b w:val="0"/>
                <w:sz w:val="18"/>
              </w:rPr>
              <w:t>L01</w:t>
            </w:r>
          </w:p>
        </w:tc>
        <w:tc>
          <w:tcPr>
            <w:tcW w:type="dxa" w:w="794"/>
          </w:tcPr>
          <w:p>
            <w:pPr>
              <w:spacing w:before="20" w:after="20"/>
              <w:jc w:val="center"/>
            </w:pPr>
            <w:r/>
            <w:r>
              <w:rPr>
                <w:rFonts w:ascii="Times New Roman" w:hAnsi="Times New Roman"/>
                <w:b w:val="0"/>
                <w:sz w:val="18"/>
              </w:rPr>
              <w:t>1040.0</w:t>
            </w:r>
          </w:p>
        </w:tc>
        <w:tc>
          <w:tcPr>
            <w:tcW w:type="dxa" w:w="794"/>
          </w:tcPr>
          <w:p>
            <w:pPr>
              <w:spacing w:before="20" w:after="20"/>
              <w:jc w:val="center"/>
            </w:pPr>
            <w:r/>
            <w:r>
              <w:rPr>
                <w:rFonts w:ascii="Times New Roman" w:hAnsi="Times New Roman"/>
                <w:b w:val="0"/>
                <w:sz w:val="18"/>
              </w:rPr>
              <w:t>125.9</w:t>
            </w:r>
          </w:p>
        </w:tc>
        <w:tc>
          <w:tcPr>
            <w:tcW w:type="dxa" w:w="794"/>
          </w:tcPr>
          <w:p>
            <w:pPr>
              <w:spacing w:before="20" w:after="20"/>
              <w:jc w:val="center"/>
            </w:pPr>
            <w:r/>
            <w:r>
              <w:rPr>
                <w:rFonts w:ascii="Times New Roman" w:hAnsi="Times New Roman"/>
                <w:b w:val="0"/>
                <w:sz w:val="18"/>
              </w:rPr>
              <w:t>117.9</w:t>
            </w:r>
          </w:p>
        </w:tc>
        <w:tc>
          <w:tcPr>
            <w:tcW w:type="dxa" w:w="794"/>
          </w:tcPr>
          <w:p>
            <w:pPr>
              <w:spacing w:before="20" w:after="20"/>
              <w:jc w:val="center"/>
            </w:pPr>
            <w:r/>
            <w:r>
              <w:rPr>
                <w:rFonts w:ascii="Times New Roman" w:hAnsi="Times New Roman"/>
                <w:b w:val="0"/>
                <w:sz w:val="18"/>
              </w:rPr>
              <w:t>1283.8</w:t>
            </w:r>
          </w:p>
        </w:tc>
        <w:tc>
          <w:tcPr>
            <w:tcW w:type="dxa" w:w="794"/>
          </w:tcPr>
          <w:p>
            <w:pPr>
              <w:spacing w:before="20" w:after="20"/>
              <w:jc w:val="center"/>
            </w:pPr>
            <w:r/>
            <w:r>
              <w:rPr>
                <w:rFonts w:ascii="Times New Roman" w:hAnsi="Times New Roman"/>
                <w:b w:val="0"/>
                <w:sz w:val="18"/>
              </w:rPr>
              <w:t>99.1</w:t>
            </w:r>
          </w:p>
        </w:tc>
        <w:tc>
          <w:tcPr>
            <w:tcW w:type="dxa" w:w="737"/>
          </w:tcPr>
          <w:p>
            <w:pPr>
              <w:spacing w:before="20" w:after="20"/>
              <w:jc w:val="center"/>
            </w:pPr>
            <w:r/>
            <w:r>
              <w:rPr>
                <w:rFonts w:ascii="Times New Roman" w:hAnsi="Times New Roman"/>
                <w:b w:val="0"/>
                <w:sz w:val="18"/>
              </w:rPr>
              <w:t>1.2</w:t>
            </w:r>
          </w:p>
        </w:tc>
        <w:tc>
          <w:tcPr>
            <w:tcW w:type="dxa" w:w="794"/>
          </w:tcPr>
          <w:p>
            <w:pPr>
              <w:spacing w:before="20" w:after="20"/>
              <w:jc w:val="center"/>
            </w:pPr>
            <w:r/>
            <w:r>
              <w:rPr>
                <w:rFonts w:ascii="Times New Roman" w:hAnsi="Times New Roman"/>
                <w:b w:val="0"/>
                <w:sz w:val="18"/>
              </w:rPr>
              <w:t>100.3</w:t>
            </w:r>
          </w:p>
        </w:tc>
        <w:tc>
          <w:tcPr>
            <w:tcW w:type="dxa" w:w="850"/>
          </w:tcPr>
          <w:p>
            <w:pPr>
              <w:spacing w:before="20" w:after="20"/>
              <w:jc w:val="center"/>
            </w:pPr>
            <w:r/>
            <w:r>
              <w:rPr>
                <w:rFonts w:ascii="Times New Roman" w:hAnsi="Times New Roman"/>
                <w:b w:val="0"/>
                <w:sz w:val="18"/>
              </w:rPr>
              <w:t>1384.1</w:t>
            </w:r>
          </w:p>
        </w:tc>
      </w:tr>
      <w:tr>
        <w:tc>
          <w:tcPr>
            <w:tcW w:type="dxa" w:w="680"/>
          </w:tcPr>
          <w:p>
            <w:pPr>
              <w:spacing w:before="20" w:after="20"/>
              <w:jc w:val="center"/>
            </w:pPr>
            <w:r/>
            <w:r>
              <w:rPr>
                <w:rFonts w:ascii="Times New Roman" w:hAnsi="Times New Roman"/>
                <w:b w:val="0"/>
                <w:sz w:val="18"/>
              </w:rPr>
              <w:t>L02</w:t>
            </w:r>
          </w:p>
        </w:tc>
        <w:tc>
          <w:tcPr>
            <w:tcW w:type="dxa" w:w="794"/>
          </w:tcPr>
          <w:p>
            <w:pPr>
              <w:spacing w:before="20" w:after="20"/>
              <w:jc w:val="center"/>
            </w:pPr>
            <w:r/>
            <w:r>
              <w:rPr>
                <w:rFonts w:ascii="Times New Roman" w:hAnsi="Times New Roman"/>
                <w:b w:val="0"/>
                <w:sz w:val="18"/>
              </w:rPr>
              <w:t>897.5</w:t>
            </w:r>
          </w:p>
        </w:tc>
        <w:tc>
          <w:tcPr>
            <w:tcW w:type="dxa" w:w="794"/>
          </w:tcPr>
          <w:p>
            <w:pPr>
              <w:spacing w:before="20" w:after="20"/>
              <w:jc w:val="center"/>
            </w:pPr>
            <w:r/>
            <w:r>
              <w:rPr>
                <w:rFonts w:ascii="Times New Roman" w:hAnsi="Times New Roman"/>
                <w:b w:val="0"/>
                <w:sz w:val="18"/>
              </w:rPr>
              <w:t>117.0</w:t>
            </w:r>
          </w:p>
        </w:tc>
        <w:tc>
          <w:tcPr>
            <w:tcW w:type="dxa" w:w="794"/>
          </w:tcPr>
          <w:p>
            <w:pPr>
              <w:spacing w:before="20" w:after="20"/>
              <w:jc w:val="center"/>
            </w:pPr>
            <w:r/>
            <w:r>
              <w:rPr>
                <w:rFonts w:ascii="Times New Roman" w:hAnsi="Times New Roman"/>
                <w:b w:val="0"/>
                <w:sz w:val="18"/>
              </w:rPr>
              <w:t>193.4</w:t>
            </w:r>
          </w:p>
        </w:tc>
        <w:tc>
          <w:tcPr>
            <w:tcW w:type="dxa" w:w="794"/>
          </w:tcPr>
          <w:p>
            <w:pPr>
              <w:spacing w:before="20" w:after="20"/>
              <w:jc w:val="center"/>
            </w:pPr>
            <w:r/>
            <w:r>
              <w:rPr>
                <w:rFonts w:ascii="Times New Roman" w:hAnsi="Times New Roman"/>
                <w:b w:val="0"/>
                <w:sz w:val="18"/>
              </w:rPr>
              <w:t>1207.9</w:t>
            </w:r>
          </w:p>
        </w:tc>
        <w:tc>
          <w:tcPr>
            <w:tcW w:type="dxa" w:w="794"/>
          </w:tcPr>
          <w:p>
            <w:pPr>
              <w:spacing w:before="20" w:after="20"/>
              <w:jc w:val="center"/>
            </w:pPr>
            <w:r/>
            <w:r>
              <w:rPr>
                <w:rFonts w:ascii="Times New Roman" w:hAnsi="Times New Roman"/>
                <w:b w:val="0"/>
                <w:sz w:val="18"/>
              </w:rPr>
              <w:t>240.9</w:t>
            </w:r>
          </w:p>
        </w:tc>
        <w:tc>
          <w:tcPr>
            <w:tcW w:type="dxa" w:w="737"/>
          </w:tcPr>
          <w:p>
            <w:pPr>
              <w:spacing w:before="20" w:after="20"/>
              <w:jc w:val="center"/>
            </w:pPr>
            <w:r/>
            <w:r>
              <w:rPr>
                <w:rFonts w:ascii="Times New Roman" w:hAnsi="Times New Roman"/>
                <w:b w:val="0"/>
                <w:sz w:val="18"/>
              </w:rPr>
              <w:t>6.5</w:t>
            </w:r>
          </w:p>
        </w:tc>
        <w:tc>
          <w:tcPr>
            <w:tcW w:type="dxa" w:w="794"/>
          </w:tcPr>
          <w:p>
            <w:pPr>
              <w:spacing w:before="20" w:after="20"/>
              <w:jc w:val="center"/>
            </w:pPr>
            <w:r/>
            <w:r>
              <w:rPr>
                <w:rFonts w:ascii="Times New Roman" w:hAnsi="Times New Roman"/>
                <w:b w:val="0"/>
                <w:sz w:val="18"/>
              </w:rPr>
              <w:t>247.4</w:t>
            </w:r>
          </w:p>
        </w:tc>
        <w:tc>
          <w:tcPr>
            <w:tcW w:type="dxa" w:w="850"/>
          </w:tcPr>
          <w:p>
            <w:pPr>
              <w:spacing w:before="20" w:after="20"/>
              <w:jc w:val="center"/>
            </w:pPr>
            <w:r/>
            <w:r>
              <w:rPr>
                <w:rFonts w:ascii="Times New Roman" w:hAnsi="Times New Roman"/>
                <w:b w:val="0"/>
                <w:sz w:val="18"/>
              </w:rPr>
              <w:t>1455.3</w:t>
            </w:r>
          </w:p>
        </w:tc>
      </w:tr>
      <w:tr>
        <w:tc>
          <w:tcPr>
            <w:tcW w:type="dxa" w:w="680"/>
          </w:tcPr>
          <w:p>
            <w:pPr>
              <w:spacing w:before="20" w:after="20"/>
              <w:jc w:val="center"/>
            </w:pPr>
            <w:r/>
            <w:r>
              <w:rPr>
                <w:rFonts w:ascii="Times New Roman" w:hAnsi="Times New Roman"/>
                <w:b w:val="0"/>
                <w:sz w:val="18"/>
              </w:rPr>
              <w:t>L03</w:t>
            </w:r>
          </w:p>
        </w:tc>
        <w:tc>
          <w:tcPr>
            <w:tcW w:type="dxa" w:w="794"/>
          </w:tcPr>
          <w:p>
            <w:pPr>
              <w:spacing w:before="20" w:after="20"/>
              <w:jc w:val="center"/>
            </w:pPr>
            <w:r/>
            <w:r>
              <w:rPr>
                <w:rFonts w:ascii="Times New Roman" w:hAnsi="Times New Roman"/>
                <w:b w:val="0"/>
                <w:sz w:val="18"/>
              </w:rPr>
              <w:t>1799.0</w:t>
            </w:r>
          </w:p>
        </w:tc>
        <w:tc>
          <w:tcPr>
            <w:tcW w:type="dxa" w:w="794"/>
          </w:tcPr>
          <w:p>
            <w:pPr>
              <w:spacing w:before="20" w:after="20"/>
              <w:jc w:val="center"/>
            </w:pPr>
            <w:r/>
            <w:r>
              <w:rPr>
                <w:rFonts w:ascii="Times New Roman" w:hAnsi="Times New Roman"/>
                <w:b w:val="0"/>
                <w:sz w:val="18"/>
              </w:rPr>
              <w:t>122.7</w:t>
            </w:r>
          </w:p>
        </w:tc>
        <w:tc>
          <w:tcPr>
            <w:tcW w:type="dxa" w:w="794"/>
          </w:tcPr>
          <w:p>
            <w:pPr>
              <w:spacing w:before="20" w:after="20"/>
              <w:jc w:val="center"/>
            </w:pPr>
            <w:r/>
            <w:r>
              <w:rPr>
                <w:rFonts w:ascii="Times New Roman" w:hAnsi="Times New Roman"/>
                <w:b w:val="0"/>
                <w:sz w:val="18"/>
              </w:rPr>
              <w:t>537.1</w:t>
            </w:r>
          </w:p>
        </w:tc>
        <w:tc>
          <w:tcPr>
            <w:tcW w:type="dxa" w:w="794"/>
          </w:tcPr>
          <w:p>
            <w:pPr>
              <w:spacing w:before="20" w:after="20"/>
              <w:jc w:val="center"/>
            </w:pPr>
            <w:r/>
            <w:r>
              <w:rPr>
                <w:rFonts w:ascii="Times New Roman" w:hAnsi="Times New Roman"/>
                <w:b w:val="0"/>
                <w:sz w:val="18"/>
              </w:rPr>
              <w:t>2458.8</w:t>
            </w:r>
          </w:p>
        </w:tc>
        <w:tc>
          <w:tcPr>
            <w:tcW w:type="dxa" w:w="794"/>
          </w:tcPr>
          <w:p>
            <w:pPr>
              <w:spacing w:before="20" w:after="20"/>
              <w:jc w:val="center"/>
            </w:pPr>
            <w:r/>
            <w:r>
              <w:rPr>
                <w:rFonts w:ascii="Times New Roman" w:hAnsi="Times New Roman"/>
                <w:b w:val="0"/>
                <w:sz w:val="18"/>
              </w:rPr>
              <w:t>205.3</w:t>
            </w:r>
          </w:p>
        </w:tc>
        <w:tc>
          <w:tcPr>
            <w:tcW w:type="dxa" w:w="737"/>
          </w:tcPr>
          <w:p>
            <w:pPr>
              <w:spacing w:before="20" w:after="20"/>
              <w:jc w:val="center"/>
            </w:pPr>
            <w:r/>
            <w:r>
              <w:rPr>
                <w:rFonts w:ascii="Times New Roman" w:hAnsi="Times New Roman"/>
                <w:b w:val="0"/>
                <w:sz w:val="18"/>
              </w:rPr>
              <w:t>12.4</w:t>
            </w:r>
          </w:p>
        </w:tc>
        <w:tc>
          <w:tcPr>
            <w:tcW w:type="dxa" w:w="794"/>
          </w:tcPr>
          <w:p>
            <w:pPr>
              <w:spacing w:before="20" w:after="20"/>
              <w:jc w:val="center"/>
            </w:pPr>
            <w:r/>
            <w:r>
              <w:rPr>
                <w:rFonts w:ascii="Times New Roman" w:hAnsi="Times New Roman"/>
                <w:b w:val="0"/>
                <w:sz w:val="18"/>
              </w:rPr>
              <w:t>217.7</w:t>
            </w:r>
          </w:p>
        </w:tc>
        <w:tc>
          <w:tcPr>
            <w:tcW w:type="dxa" w:w="850"/>
          </w:tcPr>
          <w:p>
            <w:pPr>
              <w:spacing w:before="20" w:after="20"/>
              <w:jc w:val="center"/>
            </w:pPr>
            <w:r/>
            <w:r>
              <w:rPr>
                <w:rFonts w:ascii="Times New Roman" w:hAnsi="Times New Roman"/>
                <w:b w:val="0"/>
                <w:sz w:val="18"/>
              </w:rPr>
              <w:t>2676.5</w:t>
            </w:r>
          </w:p>
        </w:tc>
      </w:tr>
      <w:tr>
        <w:tc>
          <w:tcPr>
            <w:tcW w:type="dxa" w:w="680"/>
          </w:tcPr>
          <w:p>
            <w:pPr>
              <w:spacing w:before="20" w:after="20"/>
              <w:jc w:val="center"/>
            </w:pPr>
            <w:r/>
            <w:r>
              <w:rPr>
                <w:rFonts w:ascii="Times New Roman" w:hAnsi="Times New Roman"/>
                <w:b w:val="0"/>
                <w:sz w:val="18"/>
              </w:rPr>
              <w:t>L04</w:t>
            </w:r>
          </w:p>
        </w:tc>
        <w:tc>
          <w:tcPr>
            <w:tcW w:type="dxa" w:w="794"/>
          </w:tcPr>
          <w:p>
            <w:pPr>
              <w:spacing w:before="20" w:after="20"/>
              <w:jc w:val="center"/>
            </w:pPr>
            <w:r/>
            <w:r>
              <w:rPr>
                <w:rFonts w:ascii="Times New Roman" w:hAnsi="Times New Roman"/>
                <w:b w:val="0"/>
                <w:sz w:val="18"/>
              </w:rPr>
              <w:t>682.9</w:t>
            </w:r>
          </w:p>
        </w:tc>
        <w:tc>
          <w:tcPr>
            <w:tcW w:type="dxa" w:w="794"/>
          </w:tcPr>
          <w:p>
            <w:pPr>
              <w:spacing w:before="20" w:after="20"/>
              <w:jc w:val="center"/>
            </w:pPr>
            <w:r/>
            <w:r>
              <w:rPr>
                <w:rFonts w:ascii="Times New Roman" w:hAnsi="Times New Roman"/>
                <w:b w:val="0"/>
                <w:sz w:val="18"/>
              </w:rPr>
              <w:t>97.6</w:t>
            </w:r>
          </w:p>
        </w:tc>
        <w:tc>
          <w:tcPr>
            <w:tcW w:type="dxa" w:w="794"/>
          </w:tcPr>
          <w:p>
            <w:pPr>
              <w:spacing w:before="20" w:after="20"/>
              <w:jc w:val="center"/>
            </w:pPr>
            <w:r/>
            <w:r>
              <w:rPr>
                <w:rFonts w:ascii="Times New Roman" w:hAnsi="Times New Roman"/>
                <w:b w:val="0"/>
                <w:sz w:val="18"/>
              </w:rPr>
              <w:t>243.4</w:t>
            </w:r>
          </w:p>
        </w:tc>
        <w:tc>
          <w:tcPr>
            <w:tcW w:type="dxa" w:w="794"/>
          </w:tcPr>
          <w:p>
            <w:pPr>
              <w:spacing w:before="20" w:after="20"/>
              <w:jc w:val="center"/>
            </w:pPr>
            <w:r/>
            <w:r>
              <w:rPr>
                <w:rFonts w:ascii="Times New Roman" w:hAnsi="Times New Roman"/>
                <w:b w:val="0"/>
                <w:sz w:val="18"/>
              </w:rPr>
              <w:t>1023.9</w:t>
            </w:r>
          </w:p>
        </w:tc>
        <w:tc>
          <w:tcPr>
            <w:tcW w:type="dxa" w:w="794"/>
          </w:tcPr>
          <w:p>
            <w:pPr>
              <w:spacing w:before="20" w:after="20"/>
              <w:jc w:val="center"/>
            </w:pPr>
            <w:r/>
            <w:r>
              <w:rPr>
                <w:rFonts w:ascii="Times New Roman" w:hAnsi="Times New Roman"/>
                <w:b w:val="0"/>
                <w:sz w:val="18"/>
              </w:rPr>
              <w:t>474.7</w:t>
            </w:r>
          </w:p>
        </w:tc>
        <w:tc>
          <w:tcPr>
            <w:tcW w:type="dxa" w:w="737"/>
          </w:tcPr>
          <w:p>
            <w:pPr>
              <w:spacing w:before="20" w:after="20"/>
              <w:jc w:val="center"/>
            </w:pPr>
            <w:r/>
            <w:r>
              <w:rPr>
                <w:rFonts w:ascii="Times New Roman" w:hAnsi="Times New Roman"/>
                <w:b w:val="0"/>
                <w:sz w:val="18"/>
              </w:rPr>
              <w:t>17.3</w:t>
            </w:r>
          </w:p>
        </w:tc>
        <w:tc>
          <w:tcPr>
            <w:tcW w:type="dxa" w:w="794"/>
          </w:tcPr>
          <w:p>
            <w:pPr>
              <w:spacing w:before="20" w:after="20"/>
              <w:jc w:val="center"/>
            </w:pPr>
            <w:r/>
            <w:r>
              <w:rPr>
                <w:rFonts w:ascii="Times New Roman" w:hAnsi="Times New Roman"/>
                <w:b w:val="0"/>
                <w:sz w:val="18"/>
              </w:rPr>
              <w:t>492.0</w:t>
            </w:r>
          </w:p>
        </w:tc>
        <w:tc>
          <w:tcPr>
            <w:tcW w:type="dxa" w:w="850"/>
          </w:tcPr>
          <w:p>
            <w:pPr>
              <w:spacing w:before="20" w:after="20"/>
              <w:jc w:val="center"/>
            </w:pPr>
            <w:r/>
            <w:r>
              <w:rPr>
                <w:rFonts w:ascii="Times New Roman" w:hAnsi="Times New Roman"/>
                <w:b w:val="0"/>
                <w:sz w:val="18"/>
              </w:rPr>
              <w:t>1515.9</w:t>
            </w:r>
          </w:p>
        </w:tc>
      </w:tr>
      <w:tr>
        <w:tc>
          <w:tcPr>
            <w:tcW w:type="dxa" w:w="680"/>
          </w:tcPr>
          <w:p>
            <w:pPr>
              <w:spacing w:before="20" w:after="20"/>
              <w:jc w:val="center"/>
            </w:pPr>
            <w:r/>
            <w:r>
              <w:rPr>
                <w:rFonts w:ascii="Times New Roman" w:hAnsi="Times New Roman"/>
                <w:b w:val="0"/>
                <w:sz w:val="18"/>
              </w:rPr>
              <w:t>L05</w:t>
            </w:r>
          </w:p>
        </w:tc>
        <w:tc>
          <w:tcPr>
            <w:tcW w:type="dxa" w:w="794"/>
          </w:tcPr>
          <w:p>
            <w:pPr>
              <w:spacing w:before="20" w:after="20"/>
              <w:jc w:val="center"/>
            </w:pPr>
            <w:r/>
            <w:r>
              <w:rPr>
                <w:rFonts w:ascii="Times New Roman" w:hAnsi="Times New Roman"/>
                <w:b w:val="0"/>
                <w:sz w:val="18"/>
              </w:rPr>
              <w:t>863.1</w:t>
            </w:r>
          </w:p>
        </w:tc>
        <w:tc>
          <w:tcPr>
            <w:tcW w:type="dxa" w:w="794"/>
          </w:tcPr>
          <w:p>
            <w:pPr>
              <w:spacing w:before="20" w:after="20"/>
              <w:jc w:val="center"/>
            </w:pPr>
            <w:r/>
            <w:r>
              <w:rPr>
                <w:rFonts w:ascii="Times New Roman" w:hAnsi="Times New Roman"/>
                <w:b w:val="0"/>
                <w:sz w:val="18"/>
              </w:rPr>
              <w:t>102.9</w:t>
            </w:r>
          </w:p>
        </w:tc>
        <w:tc>
          <w:tcPr>
            <w:tcW w:type="dxa" w:w="794"/>
          </w:tcPr>
          <w:p>
            <w:pPr>
              <w:spacing w:before="20" w:after="20"/>
              <w:jc w:val="center"/>
            </w:pPr>
            <w:r/>
            <w:r>
              <w:rPr>
                <w:rFonts w:ascii="Times New Roman" w:hAnsi="Times New Roman"/>
                <w:b w:val="0"/>
                <w:sz w:val="18"/>
              </w:rPr>
              <w:t>235.8</w:t>
            </w:r>
          </w:p>
        </w:tc>
        <w:tc>
          <w:tcPr>
            <w:tcW w:type="dxa" w:w="794"/>
          </w:tcPr>
          <w:p>
            <w:pPr>
              <w:spacing w:before="20" w:after="20"/>
              <w:jc w:val="center"/>
            </w:pPr>
            <w:r/>
            <w:r>
              <w:rPr>
                <w:rFonts w:ascii="Times New Roman" w:hAnsi="Times New Roman"/>
                <w:b w:val="0"/>
                <w:sz w:val="18"/>
              </w:rPr>
              <w:t>1201.8</w:t>
            </w:r>
          </w:p>
        </w:tc>
        <w:tc>
          <w:tcPr>
            <w:tcW w:type="dxa" w:w="794"/>
          </w:tcPr>
          <w:p>
            <w:pPr>
              <w:spacing w:before="20" w:after="20"/>
              <w:jc w:val="center"/>
            </w:pPr>
            <w:r/>
            <w:r>
              <w:rPr>
                <w:rFonts w:ascii="Times New Roman" w:hAnsi="Times New Roman"/>
                <w:b w:val="0"/>
                <w:sz w:val="18"/>
              </w:rPr>
              <w:t>472.6</w:t>
            </w:r>
          </w:p>
        </w:tc>
        <w:tc>
          <w:tcPr>
            <w:tcW w:type="dxa" w:w="737"/>
          </w:tcPr>
          <w:p>
            <w:pPr>
              <w:spacing w:before="20" w:after="20"/>
              <w:jc w:val="center"/>
            </w:pPr>
            <w:r/>
            <w:r>
              <w:rPr>
                <w:rFonts w:ascii="Times New Roman" w:hAnsi="Times New Roman"/>
                <w:b w:val="0"/>
                <w:sz w:val="18"/>
              </w:rPr>
              <w:t>13.3</w:t>
            </w:r>
          </w:p>
        </w:tc>
        <w:tc>
          <w:tcPr>
            <w:tcW w:type="dxa" w:w="794"/>
          </w:tcPr>
          <w:p>
            <w:pPr>
              <w:spacing w:before="20" w:after="20"/>
              <w:jc w:val="center"/>
            </w:pPr>
            <w:r/>
            <w:r>
              <w:rPr>
                <w:rFonts w:ascii="Times New Roman" w:hAnsi="Times New Roman"/>
                <w:b w:val="0"/>
                <w:sz w:val="18"/>
              </w:rPr>
              <w:t>485.9</w:t>
            </w:r>
          </w:p>
        </w:tc>
        <w:tc>
          <w:tcPr>
            <w:tcW w:type="dxa" w:w="850"/>
          </w:tcPr>
          <w:p>
            <w:pPr>
              <w:spacing w:before="20" w:after="20"/>
              <w:jc w:val="center"/>
            </w:pPr>
            <w:r/>
            <w:r>
              <w:rPr>
                <w:rFonts w:ascii="Times New Roman" w:hAnsi="Times New Roman"/>
                <w:b w:val="0"/>
                <w:sz w:val="18"/>
              </w:rPr>
              <w:t>1687.7</w:t>
            </w:r>
          </w:p>
        </w:tc>
      </w:tr>
      <w:tr>
        <w:tc>
          <w:tcPr>
            <w:tcW w:type="dxa" w:w="680"/>
          </w:tcPr>
          <w:p>
            <w:pPr>
              <w:spacing w:before="20" w:after="20"/>
              <w:jc w:val="center"/>
            </w:pPr>
            <w:r/>
            <w:r>
              <w:rPr>
                <w:rFonts w:ascii="Times New Roman" w:hAnsi="Times New Roman"/>
                <w:b w:val="0"/>
                <w:sz w:val="18"/>
              </w:rPr>
              <w:t>L06</w:t>
            </w:r>
          </w:p>
        </w:tc>
        <w:tc>
          <w:tcPr>
            <w:tcW w:type="dxa" w:w="794"/>
          </w:tcPr>
          <w:p>
            <w:pPr>
              <w:spacing w:before="20" w:after="20"/>
              <w:jc w:val="center"/>
            </w:pPr>
            <w:r/>
            <w:r>
              <w:rPr>
                <w:rFonts w:ascii="Times New Roman" w:hAnsi="Times New Roman"/>
                <w:b w:val="0"/>
                <w:sz w:val="18"/>
              </w:rPr>
              <w:t>969.1</w:t>
            </w:r>
          </w:p>
        </w:tc>
        <w:tc>
          <w:tcPr>
            <w:tcW w:type="dxa" w:w="794"/>
          </w:tcPr>
          <w:p>
            <w:pPr>
              <w:spacing w:before="20" w:after="20"/>
              <w:jc w:val="center"/>
            </w:pPr>
            <w:r/>
            <w:r>
              <w:rPr>
                <w:rFonts w:ascii="Times New Roman" w:hAnsi="Times New Roman"/>
                <w:b w:val="0"/>
                <w:sz w:val="18"/>
              </w:rPr>
              <w:t>86.4</w:t>
            </w:r>
          </w:p>
        </w:tc>
        <w:tc>
          <w:tcPr>
            <w:tcW w:type="dxa" w:w="794"/>
          </w:tcPr>
          <w:p>
            <w:pPr>
              <w:spacing w:before="20" w:after="20"/>
              <w:jc w:val="center"/>
            </w:pPr>
            <w:r/>
            <w:r>
              <w:rPr>
                <w:rFonts w:ascii="Times New Roman" w:hAnsi="Times New Roman"/>
                <w:b w:val="0"/>
                <w:sz w:val="18"/>
              </w:rPr>
              <w:t>203.2</w:t>
            </w:r>
          </w:p>
        </w:tc>
        <w:tc>
          <w:tcPr>
            <w:tcW w:type="dxa" w:w="794"/>
          </w:tcPr>
          <w:p>
            <w:pPr>
              <w:spacing w:before="20" w:after="20"/>
              <w:jc w:val="center"/>
            </w:pPr>
            <w:r/>
            <w:r>
              <w:rPr>
                <w:rFonts w:ascii="Times New Roman" w:hAnsi="Times New Roman"/>
                <w:b w:val="0"/>
                <w:sz w:val="18"/>
              </w:rPr>
              <w:t>1258.7</w:t>
            </w:r>
          </w:p>
        </w:tc>
        <w:tc>
          <w:tcPr>
            <w:tcW w:type="dxa" w:w="794"/>
          </w:tcPr>
          <w:p>
            <w:pPr>
              <w:spacing w:before="20" w:after="20"/>
              <w:jc w:val="center"/>
            </w:pPr>
            <w:r/>
            <w:r>
              <w:rPr>
                <w:rFonts w:ascii="Times New Roman" w:hAnsi="Times New Roman"/>
                <w:b w:val="0"/>
                <w:sz w:val="18"/>
              </w:rPr>
              <w:t>303.2</w:t>
            </w:r>
          </w:p>
        </w:tc>
        <w:tc>
          <w:tcPr>
            <w:tcW w:type="dxa" w:w="737"/>
          </w:tcPr>
          <w:p>
            <w:pPr>
              <w:spacing w:before="20" w:after="20"/>
              <w:jc w:val="center"/>
            </w:pPr>
            <w:r/>
            <w:r>
              <w:rPr>
                <w:rFonts w:ascii="Times New Roman" w:hAnsi="Times New Roman"/>
                <w:b w:val="0"/>
                <w:sz w:val="18"/>
              </w:rPr>
              <w:t>25.5</w:t>
            </w:r>
          </w:p>
        </w:tc>
        <w:tc>
          <w:tcPr>
            <w:tcW w:type="dxa" w:w="794"/>
          </w:tcPr>
          <w:p>
            <w:pPr>
              <w:spacing w:before="20" w:after="20"/>
              <w:jc w:val="center"/>
            </w:pPr>
            <w:r/>
            <w:r>
              <w:rPr>
                <w:rFonts w:ascii="Times New Roman" w:hAnsi="Times New Roman"/>
                <w:b w:val="0"/>
                <w:sz w:val="18"/>
              </w:rPr>
              <w:t>328.8</w:t>
            </w:r>
          </w:p>
        </w:tc>
        <w:tc>
          <w:tcPr>
            <w:tcW w:type="dxa" w:w="850"/>
          </w:tcPr>
          <w:p>
            <w:pPr>
              <w:spacing w:before="20" w:after="20"/>
              <w:jc w:val="center"/>
            </w:pPr>
            <w:r/>
            <w:r>
              <w:rPr>
                <w:rFonts w:ascii="Times New Roman" w:hAnsi="Times New Roman"/>
                <w:b w:val="0"/>
                <w:sz w:val="18"/>
              </w:rPr>
              <w:t>1587.5</w:t>
            </w:r>
          </w:p>
        </w:tc>
      </w:tr>
      <w:tr>
        <w:tc>
          <w:tcPr>
            <w:tcW w:type="dxa" w:w="680"/>
          </w:tcPr>
          <w:p>
            <w:pPr>
              <w:spacing w:before="20" w:after="20"/>
              <w:jc w:val="center"/>
            </w:pPr>
            <w:r/>
            <w:r>
              <w:rPr>
                <w:rFonts w:ascii="Times New Roman" w:hAnsi="Times New Roman"/>
                <w:b w:val="0"/>
                <w:sz w:val="18"/>
              </w:rPr>
              <w:t>L07</w:t>
            </w:r>
          </w:p>
        </w:tc>
        <w:tc>
          <w:tcPr>
            <w:tcW w:type="dxa" w:w="794"/>
          </w:tcPr>
          <w:p>
            <w:pPr>
              <w:spacing w:before="20" w:after="20"/>
              <w:jc w:val="center"/>
            </w:pPr>
            <w:r/>
            <w:r>
              <w:rPr>
                <w:rFonts w:ascii="Times New Roman" w:hAnsi="Times New Roman"/>
                <w:b w:val="0"/>
                <w:sz w:val="18"/>
              </w:rPr>
              <w:t>2333.0</w:t>
            </w:r>
          </w:p>
        </w:tc>
        <w:tc>
          <w:tcPr>
            <w:tcW w:type="dxa" w:w="794"/>
          </w:tcPr>
          <w:p>
            <w:pPr>
              <w:spacing w:before="20" w:after="20"/>
              <w:jc w:val="center"/>
            </w:pPr>
            <w:r/>
            <w:r>
              <w:rPr>
                <w:rFonts w:ascii="Times New Roman" w:hAnsi="Times New Roman"/>
                <w:b w:val="0"/>
                <w:sz w:val="18"/>
              </w:rPr>
              <w:t>183.8</w:t>
            </w:r>
          </w:p>
        </w:tc>
        <w:tc>
          <w:tcPr>
            <w:tcW w:type="dxa" w:w="794"/>
          </w:tcPr>
          <w:p>
            <w:pPr>
              <w:spacing w:before="20" w:after="20"/>
              <w:jc w:val="center"/>
            </w:pPr>
            <w:r/>
            <w:r>
              <w:rPr>
                <w:rFonts w:ascii="Times New Roman" w:hAnsi="Times New Roman"/>
                <w:b w:val="0"/>
                <w:sz w:val="18"/>
              </w:rPr>
              <w:t>303.2</w:t>
            </w:r>
          </w:p>
        </w:tc>
        <w:tc>
          <w:tcPr>
            <w:tcW w:type="dxa" w:w="794"/>
          </w:tcPr>
          <w:p>
            <w:pPr>
              <w:spacing w:before="20" w:after="20"/>
              <w:jc w:val="center"/>
            </w:pPr>
            <w:r/>
            <w:r>
              <w:rPr>
                <w:rFonts w:ascii="Times New Roman" w:hAnsi="Times New Roman"/>
                <w:b w:val="0"/>
                <w:sz w:val="18"/>
              </w:rPr>
              <w:t>2820.0</w:t>
            </w:r>
          </w:p>
        </w:tc>
        <w:tc>
          <w:tcPr>
            <w:tcW w:type="dxa" w:w="794"/>
          </w:tcPr>
          <w:p>
            <w:pPr>
              <w:spacing w:before="20" w:after="20"/>
              <w:jc w:val="center"/>
            </w:pPr>
            <w:r/>
            <w:r>
              <w:rPr>
                <w:rFonts w:ascii="Times New Roman" w:hAnsi="Times New Roman"/>
                <w:b w:val="0"/>
                <w:sz w:val="18"/>
              </w:rPr>
              <w:t>0.0</w:t>
            </w:r>
          </w:p>
        </w:tc>
        <w:tc>
          <w:tcPr>
            <w:tcW w:type="dxa" w:w="737"/>
          </w:tcPr>
          <w:p>
            <w:pPr>
              <w:spacing w:before="20" w:after="20"/>
              <w:jc w:val="center"/>
            </w:pPr>
            <w:r/>
            <w:r>
              <w:rPr>
                <w:rFonts w:ascii="Times New Roman" w:hAnsi="Times New Roman"/>
                <w:b w:val="0"/>
                <w:sz w:val="18"/>
              </w:rPr>
              <w:t>0.0</w:t>
            </w:r>
          </w:p>
        </w:tc>
        <w:tc>
          <w:tcPr>
            <w:tcW w:type="dxa" w:w="794"/>
          </w:tcPr>
          <w:p>
            <w:pPr>
              <w:spacing w:before="20" w:after="20"/>
              <w:jc w:val="center"/>
            </w:pPr>
            <w:r/>
            <w:r>
              <w:rPr>
                <w:rFonts w:ascii="Times New Roman" w:hAnsi="Times New Roman"/>
                <w:b w:val="0"/>
                <w:sz w:val="18"/>
              </w:rPr>
              <w:t>0.0</w:t>
            </w:r>
          </w:p>
        </w:tc>
        <w:tc>
          <w:tcPr>
            <w:tcW w:type="dxa" w:w="850"/>
          </w:tcPr>
          <w:p>
            <w:pPr>
              <w:spacing w:before="20" w:after="20"/>
              <w:jc w:val="center"/>
            </w:pPr>
            <w:r/>
            <w:r>
              <w:rPr>
                <w:rFonts w:ascii="Times New Roman" w:hAnsi="Times New Roman"/>
                <w:b w:val="0"/>
                <w:sz w:val="18"/>
              </w:rPr>
              <w:t>2820.0</w:t>
            </w:r>
          </w:p>
        </w:tc>
      </w:tr>
      <w:tr>
        <w:tc>
          <w:tcPr>
            <w:tcW w:type="dxa" w:w="680"/>
          </w:tcPr>
          <w:p>
            <w:pPr>
              <w:spacing w:before="20" w:after="20"/>
              <w:jc w:val="center"/>
            </w:pPr>
            <w:r/>
            <w:r>
              <w:rPr>
                <w:rFonts w:ascii="Times New Roman" w:hAnsi="Times New Roman"/>
                <w:b w:val="0"/>
                <w:sz w:val="18"/>
              </w:rPr>
              <w:t>L08</w:t>
            </w:r>
          </w:p>
        </w:tc>
        <w:tc>
          <w:tcPr>
            <w:tcW w:type="dxa" w:w="794"/>
          </w:tcPr>
          <w:p>
            <w:pPr>
              <w:spacing w:before="20" w:after="20"/>
              <w:jc w:val="center"/>
            </w:pPr>
            <w:r/>
            <w:r>
              <w:rPr>
                <w:rFonts w:ascii="Times New Roman" w:hAnsi="Times New Roman"/>
                <w:b w:val="0"/>
                <w:sz w:val="18"/>
              </w:rPr>
              <w:t>710.0</w:t>
            </w:r>
          </w:p>
        </w:tc>
        <w:tc>
          <w:tcPr>
            <w:tcW w:type="dxa" w:w="794"/>
          </w:tcPr>
          <w:p>
            <w:pPr>
              <w:spacing w:before="20" w:after="20"/>
              <w:jc w:val="center"/>
            </w:pPr>
            <w:r/>
            <w:r>
              <w:rPr>
                <w:rFonts w:ascii="Times New Roman" w:hAnsi="Times New Roman"/>
                <w:b w:val="0"/>
                <w:sz w:val="18"/>
              </w:rPr>
              <w:t>72.8</w:t>
            </w:r>
          </w:p>
        </w:tc>
        <w:tc>
          <w:tcPr>
            <w:tcW w:type="dxa" w:w="794"/>
          </w:tcPr>
          <w:p>
            <w:pPr>
              <w:spacing w:before="20" w:after="20"/>
              <w:jc w:val="center"/>
            </w:pPr>
            <w:r/>
            <w:r>
              <w:rPr>
                <w:rFonts w:ascii="Times New Roman" w:hAnsi="Times New Roman"/>
                <w:b w:val="0"/>
                <w:sz w:val="18"/>
              </w:rPr>
              <w:t>212.0</w:t>
            </w:r>
          </w:p>
        </w:tc>
        <w:tc>
          <w:tcPr>
            <w:tcW w:type="dxa" w:w="794"/>
          </w:tcPr>
          <w:p>
            <w:pPr>
              <w:spacing w:before="20" w:after="20"/>
              <w:jc w:val="center"/>
            </w:pPr>
            <w:r/>
            <w:r>
              <w:rPr>
                <w:rFonts w:ascii="Times New Roman" w:hAnsi="Times New Roman"/>
                <w:b w:val="0"/>
                <w:sz w:val="18"/>
              </w:rPr>
              <w:t>994.8</w:t>
            </w:r>
          </w:p>
        </w:tc>
        <w:tc>
          <w:tcPr>
            <w:tcW w:type="dxa" w:w="794"/>
          </w:tcPr>
          <w:p>
            <w:pPr>
              <w:spacing w:before="20" w:after="20"/>
              <w:jc w:val="center"/>
            </w:pPr>
            <w:r/>
            <w:r>
              <w:rPr>
                <w:rFonts w:ascii="Times New Roman" w:hAnsi="Times New Roman"/>
                <w:b w:val="0"/>
                <w:sz w:val="18"/>
              </w:rPr>
              <w:t>458.7</w:t>
            </w:r>
          </w:p>
        </w:tc>
        <w:tc>
          <w:tcPr>
            <w:tcW w:type="dxa" w:w="737"/>
          </w:tcPr>
          <w:p>
            <w:pPr>
              <w:spacing w:before="20" w:after="20"/>
              <w:jc w:val="center"/>
            </w:pPr>
            <w:r/>
            <w:r>
              <w:rPr>
                <w:rFonts w:ascii="Times New Roman" w:hAnsi="Times New Roman"/>
                <w:b w:val="0"/>
                <w:sz w:val="18"/>
              </w:rPr>
              <w:t>12.4</w:t>
            </w:r>
          </w:p>
        </w:tc>
        <w:tc>
          <w:tcPr>
            <w:tcW w:type="dxa" w:w="794"/>
          </w:tcPr>
          <w:p>
            <w:pPr>
              <w:spacing w:before="20" w:after="20"/>
              <w:jc w:val="center"/>
            </w:pPr>
            <w:r/>
            <w:r>
              <w:rPr>
                <w:rFonts w:ascii="Times New Roman" w:hAnsi="Times New Roman"/>
                <w:b w:val="0"/>
                <w:sz w:val="18"/>
              </w:rPr>
              <w:t>471.1</w:t>
            </w:r>
          </w:p>
        </w:tc>
        <w:tc>
          <w:tcPr>
            <w:tcW w:type="dxa" w:w="850"/>
          </w:tcPr>
          <w:p>
            <w:pPr>
              <w:spacing w:before="20" w:after="20"/>
              <w:jc w:val="center"/>
            </w:pPr>
            <w:r/>
            <w:r>
              <w:rPr>
                <w:rFonts w:ascii="Times New Roman" w:hAnsi="Times New Roman"/>
                <w:b w:val="0"/>
                <w:sz w:val="18"/>
              </w:rPr>
              <w:t>1465.9</w:t>
            </w:r>
          </w:p>
        </w:tc>
      </w:tr>
      <w:tr>
        <w:tc>
          <w:tcPr>
            <w:tcW w:type="dxa" w:w="680"/>
          </w:tcPr>
          <w:p>
            <w:pPr>
              <w:spacing w:before="20" w:after="20"/>
              <w:jc w:val="center"/>
            </w:pPr>
            <w:r/>
            <w:r>
              <w:rPr>
                <w:rFonts w:ascii="Times New Roman" w:hAnsi="Times New Roman"/>
                <w:b/>
                <w:sz w:val="18"/>
              </w:rPr>
              <w:t>L09</w:t>
            </w:r>
          </w:p>
        </w:tc>
        <w:tc>
          <w:tcPr>
            <w:tcW w:type="dxa" w:w="794"/>
          </w:tcPr>
          <w:p>
            <w:pPr>
              <w:spacing w:before="20" w:after="20"/>
              <w:jc w:val="center"/>
            </w:pPr>
            <w:r/>
            <w:r>
              <w:rPr>
                <w:rFonts w:ascii="Times New Roman" w:hAnsi="Times New Roman"/>
                <w:b/>
                <w:sz w:val="18"/>
              </w:rPr>
              <w:t>1139.0</w:t>
            </w:r>
          </w:p>
        </w:tc>
        <w:tc>
          <w:tcPr>
            <w:tcW w:type="dxa" w:w="794"/>
          </w:tcPr>
          <w:p>
            <w:pPr>
              <w:spacing w:before="20" w:after="20"/>
              <w:jc w:val="center"/>
            </w:pPr>
            <w:r/>
            <w:r>
              <w:rPr>
                <w:rFonts w:ascii="Times New Roman" w:hAnsi="Times New Roman"/>
                <w:b/>
                <w:sz w:val="18"/>
              </w:rPr>
              <w:t>197.3</w:t>
            </w:r>
          </w:p>
        </w:tc>
        <w:tc>
          <w:tcPr>
            <w:tcW w:type="dxa" w:w="794"/>
          </w:tcPr>
          <w:p>
            <w:pPr>
              <w:spacing w:before="20" w:after="20"/>
              <w:jc w:val="center"/>
            </w:pPr>
            <w:r/>
            <w:r>
              <w:rPr>
                <w:rFonts w:ascii="Times New Roman" w:hAnsi="Times New Roman"/>
                <w:b/>
                <w:sz w:val="18"/>
              </w:rPr>
              <w:t>266.5</w:t>
            </w:r>
          </w:p>
        </w:tc>
        <w:tc>
          <w:tcPr>
            <w:tcW w:type="dxa" w:w="794"/>
          </w:tcPr>
          <w:p>
            <w:pPr>
              <w:spacing w:before="20" w:after="20"/>
              <w:jc w:val="center"/>
            </w:pPr>
            <w:r/>
            <w:r>
              <w:rPr>
                <w:rFonts w:ascii="Times New Roman" w:hAnsi="Times New Roman"/>
                <w:b/>
                <w:sz w:val="18"/>
              </w:rPr>
              <w:t>1602.8</w:t>
            </w:r>
          </w:p>
        </w:tc>
        <w:tc>
          <w:tcPr>
            <w:tcW w:type="dxa" w:w="794"/>
          </w:tcPr>
          <w:p>
            <w:pPr>
              <w:spacing w:before="20" w:after="20"/>
              <w:jc w:val="center"/>
            </w:pPr>
            <w:r/>
            <w:r>
              <w:rPr>
                <w:rFonts w:ascii="Times New Roman" w:hAnsi="Times New Roman"/>
                <w:b/>
                <w:sz w:val="18"/>
              </w:rPr>
              <w:t>337.5</w:t>
            </w:r>
          </w:p>
        </w:tc>
        <w:tc>
          <w:tcPr>
            <w:tcW w:type="dxa" w:w="737"/>
          </w:tcPr>
          <w:p>
            <w:pPr>
              <w:spacing w:before="20" w:after="20"/>
              <w:jc w:val="center"/>
            </w:pPr>
            <w:r/>
            <w:r>
              <w:rPr>
                <w:rFonts w:ascii="Times New Roman" w:hAnsi="Times New Roman"/>
                <w:b/>
                <w:sz w:val="18"/>
              </w:rPr>
              <w:t>24.2</w:t>
            </w:r>
          </w:p>
        </w:tc>
        <w:tc>
          <w:tcPr>
            <w:tcW w:type="dxa" w:w="794"/>
          </w:tcPr>
          <w:p>
            <w:pPr>
              <w:spacing w:before="20" w:after="20"/>
              <w:jc w:val="center"/>
            </w:pPr>
            <w:r/>
            <w:r>
              <w:rPr>
                <w:rFonts w:ascii="Times New Roman" w:hAnsi="Times New Roman"/>
                <w:b/>
                <w:sz w:val="18"/>
              </w:rPr>
              <w:t>361.6</w:t>
            </w:r>
          </w:p>
        </w:tc>
        <w:tc>
          <w:tcPr>
            <w:tcW w:type="dxa" w:w="850"/>
          </w:tcPr>
          <w:p>
            <w:pPr>
              <w:spacing w:before="20" w:after="20"/>
              <w:jc w:val="center"/>
            </w:pPr>
            <w:r/>
            <w:r>
              <w:rPr>
                <w:rFonts w:ascii="Times New Roman" w:hAnsi="Times New Roman"/>
                <w:b/>
                <w:sz w:val="18"/>
              </w:rPr>
              <w:t>1964.4</w:t>
            </w:r>
          </w:p>
        </w:tc>
      </w:tr>
    </w:tbl>
    <w:p/>
    <w:p>
      <w:pPr>
        <w:spacing w:after="120"/>
        <w:jc w:val="center"/>
      </w:pPr>
      <w:r>
        <w:rPr>
          <w:rFonts w:ascii="Times New Roman" w:hAnsi="Times New Roman"/>
          <w:b w:val="0"/>
          <w:i/>
          <w:sz w:val="16"/>
        </w:rPr>
        <w:t>Table 2.1. Complete Peak Intensity PSD dataset. Quartz PI, Mullite PI, and Calcite PI are the sums of characteristic peak heights extracted from the background-subtracted XRD patterns using OriginPro software. NASH PI and CASH PI are derived through the semi-empirical gel partition model described in the manuscript.</w:t>
      </w:r>
    </w:p>
    <w:p>
      <w:pPr>
        <w:spacing w:after="120"/>
      </w:pPr>
      <w:r>
        <w:rPr>
          <w:rFonts w:ascii="Times New Roman" w:hAnsi="Times New Roman"/>
          <w:b/>
          <w:i w:val="0"/>
          <w:sz w:val="22"/>
        </w:rPr>
        <w:t>2.1 L01 — FA:GGBS 80:20, Al/B 0.4, NaOH 8M, CS 15.34 MPa</w:t>
      </w:r>
    </w:p>
    <w:p>
      <w:pPr>
        <w:spacing w:after="120"/>
      </w:pPr>
      <w:r>
        <w:rPr>
          <w:rFonts w:ascii="Times New Roman" w:hAnsi="Times New Roman"/>
          <w:b w:val="0"/>
          <w:i w:val="0"/>
          <w:sz w:val="20"/>
        </w:rPr>
        <w:t>Quartz PI = 1,040.0 | Mullite PI = 125.9 | Calcite PI = 117.9 | Crystalline Total PI = 1,283.8 | NASH PI = 99.1 | CASH PI = 1.2 | Cumulative = 1,384.1</w:t>
      </w:r>
    </w:p>
    <w:p>
      <w:pPr>
        <w:spacing w:after="120"/>
      </w:pPr>
      <w:r>
        <w:rPr>
          <w:rFonts w:ascii="Times New Roman" w:hAnsi="Times New Roman"/>
          <w:b w:val="0"/>
          <w:i w:val="0"/>
          <w:sz w:val="20"/>
        </w:rPr>
        <w:t>LOGICAL REASONING: L01 employed the most conservative activator combination in the experimental matrix — the lowest Al/B ratio (0.4) and the lowest NaOH molarity (8 M). Under these conditions, the concentration of hydroxide ions (OH⁻) available for breaking Si-O-Si and Si-O-Al bonds in the fly ash glassy phase is severely limited. As demonstrated by Criado et al. (2007), NaOH concentrations below 8 M are insufficient to achieve substantial dissolution of Class F fly ash, resulting in minimal release of reactive aluminosilicate species into the pore solution. The consequence is threefold: (i) the crystalline quartz and mullite peaks remain prominent because the fly ash particles are only superficially attacked; (ii) the NASH gel PSD is the lowest of any reacting mix (99.1 PI, 674.2 IA), indicating that very little sodium aluminosilicate gel was formed; and (iii) the CASH gel PSD is negligible (1.2 PI, 8.3 IA), consistent with the limited calcium availability from only 20% GGBS combined with insufficient alkalinity to dissolve the slag fraction. The SEM-EDS characterisation confirms this interpretation, describing L01 as exhibiting "Early N-A-S-H formation with incomplete reaction" — gel nucleation has begun but the quantity is insufficient to form a continuous, load-bearing matrix. The resulting compressive strength (15.34 MPa) is the lowest among all mixes, reflecting the dominance of unreacted precursor particles over binding gel.</w:t>
      </w:r>
    </w:p>
    <w:p>
      <w:pPr>
        <w:spacing w:after="120"/>
      </w:pPr>
      <w:r>
        <w:rPr>
          <w:rFonts w:ascii="Times New Roman" w:hAnsi="Times New Roman"/>
          <w:b/>
          <w:i w:val="0"/>
          <w:sz w:val="22"/>
        </w:rPr>
        <w:t>2.2 L02 — FA:GGBS 80:20, Al/B 0.5, NaOH 10M, CS 29.98 MPa</w:t>
      </w:r>
    </w:p>
    <w:p>
      <w:pPr>
        <w:spacing w:after="120"/>
      </w:pPr>
      <w:r>
        <w:rPr>
          <w:rFonts w:ascii="Times New Roman" w:hAnsi="Times New Roman"/>
          <w:b w:val="0"/>
          <w:i w:val="0"/>
          <w:sz w:val="20"/>
        </w:rPr>
        <w:t>Quartz PI = 897.5 | Mullite PI = 117.0 | Calcite PI = 193.4 | Crystalline Total PI = 1,207.9 | NASH PI = 240.9 | CASH PI = 6.5 | Cumulative = 1,455.3</w:t>
      </w:r>
    </w:p>
    <w:p>
      <w:pPr>
        <w:spacing w:after="120"/>
      </w:pPr>
      <w:r>
        <w:rPr>
          <w:rFonts w:ascii="Times New Roman" w:hAnsi="Times New Roman"/>
          <w:b w:val="0"/>
          <w:i w:val="0"/>
          <w:sz w:val="20"/>
        </w:rPr>
        <w:t>LOGICAL REASONING: L02 represents a substantial improvement over L01 through moderate increases in both activator-to-binder ratio (0.4 → 0.5) and NaOH molarity (8 M → 10 M). The additional hydroxide ions enhance the dissolution of the aluminosilicate glass phase in fly ash, releasing more Si and Al species for NASH gel formation. The quartz PI value decreases from 1,040.0 (L01) to 897.5, indicating that more of the silica-bearing glassy phase has dissolved — although the crystalline quartz peak itself is largely unaffected at these moderate alkalinities, the reduction in total intensity reflects partial dissolution of the quartz-rich glassy shell surrounding fly ash particles. The NASH PI increases dramatically from 99.1 to 240.9 (a 143% increase), confirming substantially greater aluminosilicate gel formation. CASH PI increases from 1.2 to 6.5, reflecting the beginning of calcium participation from the 20% GGBS at the higher pH. However, the CASH contribution remains modest because the calcium source is limited. The compressive strength nearly doubles from 15.34 to 29.98 MPa — directly attributable to the formation of a more continuous NASH binding network. SEM confirms "improved geopolymerization" compared with L01.</w:t>
      </w:r>
    </w:p>
    <w:p>
      <w:pPr>
        <w:spacing w:after="120"/>
      </w:pPr>
      <w:r>
        <w:rPr>
          <w:rFonts w:ascii="Times New Roman" w:hAnsi="Times New Roman"/>
          <w:b/>
          <w:i w:val="0"/>
          <w:sz w:val="22"/>
        </w:rPr>
        <w:t>2.3 L03 — FA:GGBS 80:20, Al/B 0.6, NaOH 12M, CS 52.53 MPa</w:t>
      </w:r>
    </w:p>
    <w:p>
      <w:pPr>
        <w:spacing w:after="120"/>
      </w:pPr>
      <w:r>
        <w:rPr>
          <w:rFonts w:ascii="Times New Roman" w:hAnsi="Times New Roman"/>
          <w:b w:val="0"/>
          <w:i w:val="0"/>
          <w:sz w:val="20"/>
        </w:rPr>
        <w:t>Quartz PI = 1,799.0 | Mullite PI = 122.7 | Calcite PI = 537.1 | Crystalline Total PI = 2,458.8 | NASH PI = 205.3 | CASH PI = 12.4 | Cumulative = 2,676.5</w:t>
      </w:r>
    </w:p>
    <w:p>
      <w:pPr>
        <w:spacing w:after="120"/>
      </w:pPr>
      <w:r>
        <w:rPr>
          <w:rFonts w:ascii="Times New Roman" w:hAnsi="Times New Roman"/>
          <w:b w:val="0"/>
          <w:i w:val="0"/>
          <w:sz w:val="20"/>
        </w:rPr>
        <w:t>LOGICAL REASONING: L03 presents the most instructive paradox in the dataset. It employs the most aggressive activator combination (Al/B = 0.6, the highest in the matrix; NaOH = 12 M, the highest molarity) yet exhibits the second-highest crystalline PSD (Quartz PI = 1,799.0, Crystalline Total = 2,458.8 PI). This appears counterintuitive — why does the most alkaline mix retain so much crystalline material? The resolution lies in the differential reactivity of fly ash phases, as established by Criado et al. (2007) and Williams &amp; Van Riessen (2010): the crystalline quartz and mullite in Class F fly ash are INHERENTLY RESISTANT to alkaline dissolution, regardless of OH⁻ concentration. The high activator dosage in L03 predominantly dissolved the AMORPHOUS (glassy) fraction of fly ash — which does not produce sharp Bragg peaks — while the crystalline quartz and mullite survived largely intact. The dissolved amorphous silica and alumina condensed into NASH gel (PI = 205.3), and the calcium from the 20% GGBS contributed to a modest CASH gel fraction (PI = 12.4). The resulting NASH/CASH ratio of 15.59 is the key to L03's performance: this balanced hybrid gel — where the 3D NASH framework is reinforced by calcium-modified CASH phases that fill nanopores and enhance interparticle bonding — produces the highest compressive strength (52.53 MPa) despite having the lowest amorphous fraction of any reacting mix. The anomalously high calcite PI (537.1) and IA (2,811) for L03's low GGBS content is likely attributable to enhanced atmospheric carbonation during curing: the high alkalinity and open pore structure of this mix facilitate CO₂ ingress and CaCO₃ precipitation. Garcia-Lodeiro et al. (2011) demonstrated that such hybrid NASH/CASH systems achieve superior mechanical properties compared with either gel type alone.</w:t>
      </w:r>
    </w:p>
    <w:p>
      <w:pPr>
        <w:spacing w:after="120"/>
      </w:pPr>
      <w:r>
        <w:rPr>
          <w:rFonts w:ascii="Times New Roman" w:hAnsi="Times New Roman"/>
          <w:b/>
          <w:i w:val="0"/>
          <w:sz w:val="22"/>
        </w:rPr>
        <w:t>2.4 L04 — FA:GGBS 70:30, Al/B 0.4, NaOH 10M, CS 51.62 MPa</w:t>
      </w:r>
    </w:p>
    <w:p>
      <w:pPr>
        <w:spacing w:after="120"/>
      </w:pPr>
      <w:r>
        <w:rPr>
          <w:rFonts w:ascii="Times New Roman" w:hAnsi="Times New Roman"/>
          <w:b w:val="0"/>
          <w:i w:val="0"/>
          <w:sz w:val="20"/>
        </w:rPr>
        <w:t>Quartz PI = 682.9 | Mullite PI = 97.6 | Calcite PI = 243.4 | Crystalline Total PI = 1,023.9 | NASH PI = 474.7 | CASH PI = 17.3 | Cumulative = 1,515.9</w:t>
      </w:r>
    </w:p>
    <w:p>
      <w:pPr>
        <w:spacing w:after="120"/>
      </w:pPr>
      <w:r>
        <w:rPr>
          <w:rFonts w:ascii="Times New Roman" w:hAnsi="Times New Roman"/>
          <w:b w:val="0"/>
          <w:i w:val="0"/>
          <w:sz w:val="20"/>
        </w:rPr>
        <w:t>LOGICAL REASONING: L04 achieves the OPTIMAL balance between precursor dissolution and gel formation. The combination of 70:30 FA:GGBS with Al/B = 0.4 and 10 M NaOH proves highly effective: the crystalline PSD (1,023.9 PI) is the second-lowest in the dataset after L08, indicating extensive precursor dissolution. The 30% GGBS provides sufficient calcium to form a meaningful CASH gel fraction (PI = 17.3, IA = 124.6) without overwhelming the NASH network. The NASH PI of 474.7 is the HIGHEST in the dataset — this is the anchor mix for which the NASH gel was directly measured from the diffractogram (IA = 3,228 a.u., manuscript paragraph 197). The NASH/CASH ratio of 25.9 reflects a gel system that is predominantly NASH with a beneficial CASH secondary phase providing pore refinement. The compressive strength (51.62 MPa) is the second-highest, confirming that abundant, well-formed gel — even if slightly NASH-heavy — produces excellent mechanical performance. Nath &amp; Kumar (2013) observed similar optimal performance at 70:30 FA:GGBS ratios in their study of iron-making slag-geopolymer blends.</w:t>
      </w:r>
    </w:p>
    <w:p>
      <w:pPr>
        <w:spacing w:after="120"/>
      </w:pPr>
      <w:r>
        <w:rPr>
          <w:rFonts w:ascii="Times New Roman" w:hAnsi="Times New Roman"/>
          <w:b/>
          <w:i w:val="0"/>
          <w:sz w:val="22"/>
        </w:rPr>
        <w:t>2.5 L05 — FA:GGBS 70:30, Al/B 0.5, NaOH 12M, CS 51.43 MPa</w:t>
      </w:r>
    </w:p>
    <w:p>
      <w:pPr>
        <w:spacing w:after="120"/>
      </w:pPr>
      <w:r>
        <w:rPr>
          <w:rFonts w:ascii="Times New Roman" w:hAnsi="Times New Roman"/>
          <w:b w:val="0"/>
          <w:i w:val="0"/>
          <w:sz w:val="20"/>
        </w:rPr>
        <w:t>Quartz PI = 863.1 | Mullite PI = 102.9 | Calcite PI = 235.8 | Crystalline Total PI = 1,201.8 | NASH PI = 472.6 | CASH PI = 13.3 | Cumulative = 1,687.7</w:t>
      </w:r>
    </w:p>
    <w:p>
      <w:pPr>
        <w:spacing w:after="120"/>
      </w:pPr>
      <w:r>
        <w:rPr>
          <w:rFonts w:ascii="Times New Roman" w:hAnsi="Times New Roman"/>
          <w:b w:val="0"/>
          <w:i w:val="0"/>
          <w:sz w:val="20"/>
        </w:rPr>
        <w:t>LOGICAL REASONING: L05 employs the same 70:30 FA:GGBS ratio as L04 but with higher activator dosage (Al/B = 0.5, NaOH = 12 M). The results reveal an important principle: beyond a threshold, additional activator does NOT produce additional gel. The crystalline PSD (1,201.8 PI) is marginally higher than L04 (1,023.9 PI), suggesting that the more aggressive alkaline environment — rather than promoting further dissolution — may have induced some reprecipitation of dissolved species as non-binding phases on particle surfaces, slightly inhibiting further precursor dissolution. The NASH PI (472.6) is essentially identical to L04 (474.7), and the CASH PI is slightly lower (13.3 vs. 17.3). The compressive strength (51.43 MPa) is also essentially identical to L04 (51.62 MPa). This demonstrates that at the 70:30 FA:GGBS ratio, Al/B = 0.4 with 10 M NaOH already provides sufficient alkalinity for near-complete dissolution of the reactive fraction; the additional activator in L05 contributes primarily to the pore solution chemistry rather than to further gel formation. This finding is consistent with Provis &amp; Bernal (2014), who noted that excess alkali beyond the optimum can be counterproductive, remaining in the pore solution and potentially causing efflorescence without contributing to strength.</w:t>
      </w:r>
    </w:p>
    <w:p>
      <w:pPr>
        <w:spacing w:after="120"/>
      </w:pPr>
      <w:r>
        <w:rPr>
          <w:rFonts w:ascii="Times New Roman" w:hAnsi="Times New Roman"/>
          <w:b/>
          <w:i w:val="0"/>
          <w:sz w:val="22"/>
        </w:rPr>
        <w:t>2.6 L06 — FA:GGBS 70:30, Al/B 0.6, NaOH 8M, CS 38.97 MPa</w:t>
      </w:r>
    </w:p>
    <w:p>
      <w:pPr>
        <w:spacing w:after="120"/>
      </w:pPr>
      <w:r>
        <w:rPr>
          <w:rFonts w:ascii="Times New Roman" w:hAnsi="Times New Roman"/>
          <w:b w:val="0"/>
          <w:i w:val="0"/>
          <w:sz w:val="20"/>
        </w:rPr>
        <w:t>Quartz PI = 969.1 | Mullite PI = 86.4 | Calcite PI = 203.2 | Crystalline Total PI = 1,258.7 | NASH PI = 303.2 | CASH PI = 25.5 | Cumulative = 1,587.5</w:t>
      </w:r>
    </w:p>
    <w:p>
      <w:pPr>
        <w:spacing w:after="120"/>
      </w:pPr>
      <w:r>
        <w:rPr>
          <w:rFonts w:ascii="Times New Roman" w:hAnsi="Times New Roman"/>
          <w:b w:val="0"/>
          <w:i w:val="0"/>
          <w:sz w:val="20"/>
        </w:rPr>
        <w:t>LOGICAL REASONING: L06 illustrates the critical importance of NaOH molarity independent of the Al/B ratio. Despite having the highest Al/B ratio in the dataset (0.6), the low NaOH molarity (8 M) limits the absolute concentration of OH⁻ ions available for precursor dissolution. The result is a peculiar combination: the high Al/B ratio means a large volume of activator solution is present, providing abundant sodium and soluble silicate, but the low molarity means the solution is not sufficiently alkaline to efficiently dissolve the fly ash glass. The crystalline PSD (1,258.7 PI) is higher than both L04 and L05 at the same FA:GGBS ratio, confirming less dissolution. The NASH PI (303.2) is substantially lower than L04/L05 (474.7/472.6), indicating reduced gel formation. Interestingly, the CASH PI (25.5) is the highest in the dataset, likely because the available calcium from the 30% GGBS — which dissolves more readily than fly ash even at moderate pH (Ismail et al., 2014) — forms CASH gel preferentially when NASH formation is kinetically limited by insufficient Al and Si dissolution. The NASH/CASH ratio of 11.2 is the second-lowest, reflecting this calcium-dominated activation pathway. The compressive strength (38.97 MPa) is intermediate — better than the under-activated L01 and L02, but substantially below the optimally-activated L03-L05 group. The SEM description "high precursor availability, limited activation" precisely captures this scenario: the precursors are present in favourable proportions, but the low NaOH molarity prevents their effective utilisation.</w:t>
      </w:r>
    </w:p>
    <w:p>
      <w:pPr>
        <w:spacing w:after="120"/>
      </w:pPr>
      <w:r>
        <w:rPr>
          <w:rFonts w:ascii="Times New Roman" w:hAnsi="Times New Roman"/>
          <w:b/>
          <w:i w:val="0"/>
          <w:sz w:val="22"/>
        </w:rPr>
        <w:t>2.7 L07 — FA:GGBS 60:40, Al/B 0.4, NaOH 12M, CS 22.41 MPa</w:t>
      </w:r>
    </w:p>
    <w:p>
      <w:pPr>
        <w:spacing w:after="120"/>
      </w:pPr>
      <w:r>
        <w:rPr>
          <w:rFonts w:ascii="Times New Roman" w:hAnsi="Times New Roman"/>
          <w:b w:val="0"/>
          <w:i w:val="0"/>
          <w:sz w:val="20"/>
        </w:rPr>
        <w:t>Quartz PI = 2,333.0 | Mullite PI = 183.8 | Calcite PI = 303.2 | Crystalline Total PI = 2,820.0 | NASH PI = 0.0 | CASH PI = 0.0 | Cumulative = 2,820.0</w:t>
      </w:r>
    </w:p>
    <w:p>
      <w:pPr>
        <w:spacing w:after="120"/>
      </w:pPr>
      <w:r>
        <w:rPr>
          <w:rFonts w:ascii="Times New Roman" w:hAnsi="Times New Roman"/>
          <w:b w:val="0"/>
          <w:i w:val="0"/>
          <w:sz w:val="20"/>
        </w:rPr>
        <w:t>LOGICAL REASONING: L07 is the failure case that illuminates the mechanism of successful activation. It records the HIGHEST crystalline PSD (2,820.0 PI) and ZERO amorphous gel formation. The combination of 60:40 FA:GGBS with the lowest Al/B ratio (0.4) and the highest NaOH molarity (12 M) proves catastrophic. The mechanism, as described by Provis &amp; Bernal (2014), involves rapid calcium dissolution from the high GGBS fraction (40%) in the highly alkaline environment (12 M NaOH). The abundant Ca²⁺ ions react with dissolved silicate species to form calcium-rich precipitates that deposit as a dense layer on the surface of fly ash particles. This surface layer acts as a diffusion barrier, encapsulating the unreacted fly ash and preventing further dissolution of the aluminosilicate core. Simultaneously, the low Al/B ratio (0.4) means insufficient activator volume is available to maintain the high pH needed to penetrate this barrier. The result is a microstructure dominated by unreacted, silica-rich crystalline phases with negligible binding gel. The SEM characterisation as a "silica-rich crystalline system with poor gel connectivity" is directly reflected in the PSD data: all scattering intensity is crystalline (Quartz = 2,333.0, Mullite = 183.8, Calcite = 303.2), with no measurable amorphous contribution. The compressive strength (22.41 MPa) — while not zero — reflects residual strength from particle packing and crystalline interlocking alone, without the benefit of a continuous gel binding matrix. This case demonstrates that high GGBS content is NOT universally beneficial; without sufficient activator volume (Al/B), the calcium can become a liability rather than an asset.</w:t>
      </w:r>
    </w:p>
    <w:p>
      <w:pPr>
        <w:spacing w:after="120"/>
      </w:pPr>
      <w:r>
        <w:rPr>
          <w:rFonts w:ascii="Times New Roman" w:hAnsi="Times New Roman"/>
          <w:b/>
          <w:i w:val="0"/>
          <w:sz w:val="22"/>
        </w:rPr>
        <w:t>2.8 L08 — FA:GGBS 60:40, Al/B 0.5, NaOH 8M, CS 47.95 MPa</w:t>
      </w:r>
    </w:p>
    <w:p>
      <w:pPr>
        <w:spacing w:after="120"/>
      </w:pPr>
      <w:r>
        <w:rPr>
          <w:rFonts w:ascii="Times New Roman" w:hAnsi="Times New Roman"/>
          <w:b w:val="0"/>
          <w:i w:val="0"/>
          <w:sz w:val="20"/>
        </w:rPr>
        <w:t>Quartz PI = 710.0 | Mullite PI = 72.8 | Calcite PI = 212.0 | Crystalline Total PI = 994.8 | NASH PI = 458.7 | CASH PI = 12.4 | Cumulative = 1,465.9</w:t>
      </w:r>
    </w:p>
    <w:p>
      <w:pPr>
        <w:spacing w:after="120"/>
      </w:pPr>
      <w:r>
        <w:rPr>
          <w:rFonts w:ascii="Times New Roman" w:hAnsi="Times New Roman"/>
          <w:b w:val="0"/>
          <w:i w:val="0"/>
          <w:sz w:val="20"/>
        </w:rPr>
        <w:t>LOGICAL REASONING: L08 demonstrates that high GGBS content (40%) CAN be effective when paired with adequate activator volume. Compared with L07 (same FA:GGBS = 60:40), the critical difference is the higher Al/B ratio (0.5 vs. 0.4), which provides sufficient activator volume to prevent the calcium encapsulation phenomenon. The crystalline PSD (994.8 PI) is the LOWEST in the entire dataset, confirming the most extensive precursor dissolution. This makes physical sense: GGBS is predominantly glassy (amorphous) and dissolves more readily than the crystalline phases of fly ash (Ismail et al., 2014). With 40% GGBS and adequate activator, a large fraction of the precursor dissolves. The NASH PI (458.7) is the third-highest, indicating substantial aluminosilicate gel formation from the fly ash fraction. The CASH PI (12.4) is moderate — despite the high calcium availability from 40% GGBS, much of the dissolved calcium may be incorporated into the pore solution or form calcium-rich phases that do not contribute significantly to the amorphous XRD hump. The NASH/CASH ratio of 35.0 is the second-highest among all mixes, reflecting the continued dominance of the fly ash-derived NASH gel even at high GGBS content. The compressive strength (47.95 MPa) is excellent, though slightly below L03-L05. The SEM characterisation as "heterogeneous system with Na-rich segregation" is reflected in the very high Na/Al ratio (3.44) from EDS — the most extreme in the dataset — confirming that excess sodium has accumulated in the pore solution and precipitated as Na-rich phases rather than being fully incorporated into the NASH gel network. This sodium segregation likely accounts for the marginally lower strength compared with the more homogeneous L03-L05 group.</w:t>
      </w:r>
    </w:p>
    <w:p>
      <w:pPr>
        <w:spacing w:after="120"/>
      </w:pPr>
      <w:r>
        <w:rPr>
          <w:rFonts w:ascii="Times New Roman" w:hAnsi="Times New Roman"/>
          <w:b/>
          <w:i w:val="0"/>
          <w:sz w:val="22"/>
        </w:rPr>
        <w:t>2.9 L09 — FA:GGBS 60:40, Al/B 0.6, NaOH 10M, CS 42.68 MPa</w:t>
      </w:r>
    </w:p>
    <w:p>
      <w:pPr>
        <w:spacing w:after="120"/>
      </w:pPr>
      <w:r>
        <w:rPr>
          <w:rFonts w:ascii="Times New Roman" w:hAnsi="Times New Roman"/>
          <w:b w:val="0"/>
          <w:i w:val="0"/>
          <w:sz w:val="20"/>
        </w:rPr>
        <w:t>Quartz PI = 1,139.0 | Mullite PI = 197.3 | Calcite PI = 266.5 | Crystalline Total PI = 1,602.8 | NASH PI = 337.5 | CASH PI = 24.2 | Cumulative = 1,964.4</w:t>
      </w:r>
    </w:p>
    <w:p>
      <w:pPr>
        <w:spacing w:after="120"/>
      </w:pPr>
      <w:r>
        <w:rPr>
          <w:rFonts w:ascii="Times New Roman" w:hAnsi="Times New Roman"/>
          <w:b w:val="0"/>
          <w:i w:val="0"/>
          <w:sz w:val="20"/>
        </w:rPr>
        <w:t>LOGICAL REASONING: L09 employs the highest combined activator dosage (Al/B = 0.6, NaOH = 10 M) with the highest GGBS content (40%). The crystalline PSD (1,602.8 PI) is moderate — higher than L08 at the same GGBS content, possibly because the extremely high Al/B ratio (0.6) at only 10 M NaOH creates a large volume of moderately alkaline solution rather than a smaller volume of highly alkaline solution, and the dilution effect may reduce the local OH⁻ concentration at the particle-solution interface. The NASH PI (337.5) is intermediate among the reacting mixes, and the CASH PI (24.2) is the second-highest, reflecting the significant calcium contribution from the 40% GGBS processed at adequate alkalinity. The NASH/CASH ratio of 13.2 approaches the optimal range (10-15) but the absolute gel quantities are lower than L03-L05 because the higher fly ash content in those mixes (70-80%) provides more aluminosilicate precursor for NASH formation. The compressive strength (42.68 MPa) is good but substantially below the top tier. The SEM characterisation as "balanced geopolymerization and matrix development" suggests that while the gel chemistry is favourable, the total gel quantity limits the achievable strength — this mix falls into Stage 2 of the three-stage mechanistic model (gel-quality-dominated).</w:t>
      </w:r>
    </w:p>
    <w:p>
      <w:r>
        <w:br w:type="page"/>
      </w:r>
    </w:p>
    <w:p>
      <w:pPr>
        <w:pStyle w:val="Heading1"/>
      </w:pPr>
      <w:r>
        <w:rPr>
          <w:rFonts w:ascii="Times New Roman" w:hAnsi="Times New Roman"/>
          <w:color w:val="000050"/>
        </w:rPr>
        <w:t>3. Integrated Area PSD — Values and Mix-wise Reasoning</w:t>
      </w:r>
    </w:p>
    <w:p>
      <w:pPr>
        <w:spacing w:after="120"/>
      </w:pPr>
      <w:r>
        <w:rPr>
          <w:rFonts w:ascii="Times New Roman" w:hAnsi="Times New Roman"/>
          <w:b w:val="0"/>
          <w:i w:val="0"/>
          <w:sz w:val="20"/>
        </w:rPr>
        <w:t>The Integrated Area PSD captures the complete diffraction profile of each phase and is the recommended primary quantification method. The IA values are consistently larger than the PI values because the area under a peak always exceeds its height. The IA/PI ratio is proportional to the peak width (FWHM): Quartz IA/PI ≈ 7.8 (sharp peaks from well-crystallized grains), Mullite IA/PI ≈ 20.0 (broad peaks from nanoscale crystallites), Calcite IA/PI ≈ 7.0 (moderate crystallinity).</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680"/>
            <w:shd w:fill="003366"/>
          </w:tcPr>
          <w:p>
            <w:pPr>
              <w:spacing w:before="20" w:after="20"/>
              <w:jc w:val="center"/>
            </w:pPr>
            <w:r/>
            <w:r>
              <w:rPr>
                <w:rFonts w:ascii="Times New Roman" w:hAnsi="Times New Roman"/>
                <w:b/>
                <w:color w:val="FFFFFF"/>
                <w:sz w:val="18"/>
              </w:rPr>
              <w:t>Mix</w:t>
            </w:r>
          </w:p>
        </w:tc>
        <w:tc>
          <w:tcPr>
            <w:tcW w:type="dxa" w:w="737"/>
            <w:shd w:fill="003366"/>
          </w:tcPr>
          <w:p>
            <w:pPr>
              <w:spacing w:before="20" w:after="20"/>
              <w:jc w:val="center"/>
            </w:pPr>
            <w:r/>
            <w:r>
              <w:rPr>
                <w:rFonts w:ascii="Times New Roman" w:hAnsi="Times New Roman"/>
                <w:b/>
                <w:color w:val="FFFFFF"/>
                <w:sz w:val="18"/>
              </w:rPr>
              <w:t>Quartz IA</w:t>
            </w:r>
          </w:p>
        </w:tc>
        <w:tc>
          <w:tcPr>
            <w:tcW w:type="dxa" w:w="737"/>
            <w:shd w:fill="003366"/>
          </w:tcPr>
          <w:p>
            <w:pPr>
              <w:spacing w:before="20" w:after="20"/>
              <w:jc w:val="center"/>
            </w:pPr>
            <w:r/>
            <w:r>
              <w:rPr>
                <w:rFonts w:ascii="Times New Roman" w:hAnsi="Times New Roman"/>
                <w:b/>
                <w:color w:val="FFFFFF"/>
                <w:sz w:val="18"/>
              </w:rPr>
              <w:t>Mullite IA</w:t>
            </w:r>
          </w:p>
        </w:tc>
        <w:tc>
          <w:tcPr>
            <w:tcW w:type="dxa" w:w="737"/>
            <w:shd w:fill="003366"/>
          </w:tcPr>
          <w:p>
            <w:pPr>
              <w:spacing w:before="20" w:after="20"/>
              <w:jc w:val="center"/>
            </w:pPr>
            <w:r/>
            <w:r>
              <w:rPr>
                <w:rFonts w:ascii="Times New Roman" w:hAnsi="Times New Roman"/>
                <w:b/>
                <w:color w:val="FFFFFF"/>
                <w:sz w:val="18"/>
              </w:rPr>
              <w:t>Calcite IA</w:t>
            </w:r>
          </w:p>
        </w:tc>
        <w:tc>
          <w:tcPr>
            <w:tcW w:type="dxa" w:w="794"/>
            <w:shd w:fill="003366"/>
          </w:tcPr>
          <w:p>
            <w:pPr>
              <w:spacing w:before="20" w:after="20"/>
              <w:jc w:val="center"/>
            </w:pPr>
            <w:r/>
            <w:r>
              <w:rPr>
                <w:rFonts w:ascii="Times New Roman" w:hAnsi="Times New Roman"/>
                <w:b/>
                <w:color w:val="FFFFFF"/>
                <w:sz w:val="18"/>
              </w:rPr>
              <w:t>Cryst.Total</w:t>
            </w:r>
          </w:p>
        </w:tc>
        <w:tc>
          <w:tcPr>
            <w:tcW w:type="dxa" w:w="794"/>
            <w:shd w:fill="003366"/>
          </w:tcPr>
          <w:p>
            <w:pPr>
              <w:spacing w:before="20" w:after="20"/>
              <w:jc w:val="center"/>
            </w:pPr>
            <w:r/>
            <w:r>
              <w:rPr>
                <w:rFonts w:ascii="Times New Roman" w:hAnsi="Times New Roman"/>
                <w:b/>
                <w:color w:val="FFFFFF"/>
                <w:sz w:val="18"/>
              </w:rPr>
              <w:t>NASH IA</w:t>
            </w:r>
          </w:p>
        </w:tc>
        <w:tc>
          <w:tcPr>
            <w:tcW w:type="dxa" w:w="737"/>
            <w:shd w:fill="003366"/>
          </w:tcPr>
          <w:p>
            <w:pPr>
              <w:spacing w:before="20" w:after="20"/>
              <w:jc w:val="center"/>
            </w:pPr>
            <w:r/>
            <w:r>
              <w:rPr>
                <w:rFonts w:ascii="Times New Roman" w:hAnsi="Times New Roman"/>
                <w:b/>
                <w:color w:val="FFFFFF"/>
                <w:sz w:val="18"/>
              </w:rPr>
              <w:t>CASH IA</w:t>
            </w:r>
          </w:p>
        </w:tc>
        <w:tc>
          <w:tcPr>
            <w:tcW w:type="dxa" w:w="737"/>
            <w:shd w:fill="003366"/>
          </w:tcPr>
          <w:p>
            <w:pPr>
              <w:spacing w:before="20" w:after="20"/>
              <w:jc w:val="center"/>
            </w:pPr>
            <w:r/>
            <w:r>
              <w:rPr>
                <w:rFonts w:ascii="Times New Roman" w:hAnsi="Times New Roman"/>
                <w:b/>
                <w:color w:val="FFFFFF"/>
                <w:sz w:val="18"/>
              </w:rPr>
              <w:t>Amor.Total</w:t>
            </w:r>
          </w:p>
        </w:tc>
        <w:tc>
          <w:tcPr>
            <w:tcW w:type="dxa" w:w="794"/>
            <w:shd w:fill="003366"/>
          </w:tcPr>
          <w:p>
            <w:pPr>
              <w:spacing w:before="20" w:after="20"/>
              <w:jc w:val="center"/>
            </w:pPr>
            <w:r/>
            <w:r>
              <w:rPr>
                <w:rFonts w:ascii="Times New Roman" w:hAnsi="Times New Roman"/>
                <w:b/>
                <w:color w:val="FFFFFF"/>
                <w:sz w:val="18"/>
              </w:rPr>
              <w:t>TOTAL PSD</w:t>
            </w:r>
          </w:p>
        </w:tc>
        <w:tc>
          <w:tcPr>
            <w:tcW w:type="dxa" w:w="737"/>
            <w:shd w:fill="003366"/>
          </w:tcPr>
          <w:p>
            <w:pPr>
              <w:spacing w:before="20" w:after="20"/>
              <w:jc w:val="center"/>
            </w:pPr>
            <w:r/>
            <w:r>
              <w:rPr>
                <w:rFonts w:ascii="Times New Roman" w:hAnsi="Times New Roman"/>
                <w:b/>
                <w:color w:val="FFFFFF"/>
                <w:sz w:val="18"/>
              </w:rPr>
              <w:t>Amor.Frac</w:t>
            </w:r>
          </w:p>
        </w:tc>
      </w:tr>
      <w:tr>
        <w:tc>
          <w:tcPr>
            <w:tcW w:type="dxa" w:w="680"/>
          </w:tcPr>
          <w:p>
            <w:pPr>
              <w:spacing w:before="20" w:after="20"/>
              <w:jc w:val="center"/>
            </w:pPr>
            <w:r/>
            <w:r>
              <w:rPr>
                <w:rFonts w:ascii="Times New Roman" w:hAnsi="Times New Roman"/>
                <w:b w:val="0"/>
                <w:sz w:val="18"/>
              </w:rPr>
              <w:t>L01</w:t>
            </w:r>
          </w:p>
        </w:tc>
        <w:tc>
          <w:tcPr>
            <w:tcW w:type="dxa" w:w="737"/>
          </w:tcPr>
          <w:p>
            <w:pPr>
              <w:spacing w:before="20" w:after="20"/>
              <w:jc w:val="center"/>
            </w:pPr>
            <w:r/>
            <w:r>
              <w:rPr>
                <w:rFonts w:ascii="Times New Roman" w:hAnsi="Times New Roman"/>
                <w:b w:val="0"/>
                <w:sz w:val="18"/>
              </w:rPr>
              <w:t>8773</w:t>
            </w:r>
          </w:p>
        </w:tc>
        <w:tc>
          <w:tcPr>
            <w:tcW w:type="dxa" w:w="737"/>
          </w:tcPr>
          <w:p>
            <w:pPr>
              <w:spacing w:before="20" w:after="20"/>
              <w:jc w:val="center"/>
            </w:pPr>
            <w:r/>
            <w:r>
              <w:rPr>
                <w:rFonts w:ascii="Times New Roman" w:hAnsi="Times New Roman"/>
                <w:b w:val="0"/>
                <w:sz w:val="18"/>
              </w:rPr>
              <w:t>2152</w:t>
            </w:r>
          </w:p>
        </w:tc>
        <w:tc>
          <w:tcPr>
            <w:tcW w:type="dxa" w:w="737"/>
          </w:tcPr>
          <w:p>
            <w:pPr>
              <w:spacing w:before="20" w:after="20"/>
              <w:jc w:val="center"/>
            </w:pPr>
            <w:r/>
            <w:r>
              <w:rPr>
                <w:rFonts w:ascii="Times New Roman" w:hAnsi="Times New Roman"/>
                <w:b w:val="0"/>
                <w:sz w:val="18"/>
              </w:rPr>
              <w:t>1101</w:t>
            </w:r>
          </w:p>
        </w:tc>
        <w:tc>
          <w:tcPr>
            <w:tcW w:type="dxa" w:w="794"/>
          </w:tcPr>
          <w:p>
            <w:pPr>
              <w:spacing w:before="20" w:after="20"/>
              <w:jc w:val="center"/>
            </w:pPr>
            <w:r/>
            <w:r>
              <w:rPr>
                <w:rFonts w:ascii="Times New Roman" w:hAnsi="Times New Roman"/>
                <w:b w:val="0"/>
                <w:sz w:val="18"/>
              </w:rPr>
              <w:t>12026</w:t>
            </w:r>
          </w:p>
        </w:tc>
        <w:tc>
          <w:tcPr>
            <w:tcW w:type="dxa" w:w="794"/>
          </w:tcPr>
          <w:p>
            <w:pPr>
              <w:spacing w:before="20" w:after="20"/>
              <w:jc w:val="center"/>
            </w:pPr>
            <w:r/>
            <w:r>
              <w:rPr>
                <w:rFonts w:ascii="Times New Roman" w:hAnsi="Times New Roman"/>
                <w:b w:val="0"/>
                <w:sz w:val="18"/>
              </w:rPr>
              <w:t>674.2</w:t>
            </w:r>
          </w:p>
        </w:tc>
        <w:tc>
          <w:tcPr>
            <w:tcW w:type="dxa" w:w="737"/>
          </w:tcPr>
          <w:p>
            <w:pPr>
              <w:spacing w:before="20" w:after="20"/>
              <w:jc w:val="center"/>
            </w:pPr>
            <w:r/>
            <w:r>
              <w:rPr>
                <w:rFonts w:ascii="Times New Roman" w:hAnsi="Times New Roman"/>
                <w:b w:val="0"/>
                <w:sz w:val="18"/>
              </w:rPr>
              <w:t>8.3</w:t>
            </w:r>
          </w:p>
        </w:tc>
        <w:tc>
          <w:tcPr>
            <w:tcW w:type="dxa" w:w="737"/>
          </w:tcPr>
          <w:p>
            <w:pPr>
              <w:spacing w:before="20" w:after="20"/>
              <w:jc w:val="center"/>
            </w:pPr>
            <w:r/>
            <w:r>
              <w:rPr>
                <w:rFonts w:ascii="Times New Roman" w:hAnsi="Times New Roman"/>
                <w:b w:val="0"/>
                <w:sz w:val="18"/>
              </w:rPr>
              <w:t>682.5</w:t>
            </w:r>
          </w:p>
        </w:tc>
        <w:tc>
          <w:tcPr>
            <w:tcW w:type="dxa" w:w="794"/>
          </w:tcPr>
          <w:p>
            <w:pPr>
              <w:spacing w:before="20" w:after="20"/>
              <w:jc w:val="center"/>
            </w:pPr>
            <w:r/>
            <w:r>
              <w:rPr>
                <w:rFonts w:ascii="Times New Roman" w:hAnsi="Times New Roman"/>
                <w:b w:val="0"/>
                <w:sz w:val="18"/>
              </w:rPr>
              <w:t>12708.5</w:t>
            </w:r>
          </w:p>
        </w:tc>
        <w:tc>
          <w:tcPr>
            <w:tcW w:type="dxa" w:w="737"/>
          </w:tcPr>
          <w:p>
            <w:pPr>
              <w:spacing w:before="20" w:after="20"/>
              <w:jc w:val="center"/>
            </w:pPr>
            <w:r/>
            <w:r>
              <w:rPr>
                <w:rFonts w:ascii="Times New Roman" w:hAnsi="Times New Roman"/>
                <w:b w:val="0"/>
                <w:sz w:val="18"/>
              </w:rPr>
              <w:t>0.0537</w:t>
            </w:r>
          </w:p>
        </w:tc>
      </w:tr>
      <w:tr>
        <w:tc>
          <w:tcPr>
            <w:tcW w:type="dxa" w:w="680"/>
          </w:tcPr>
          <w:p>
            <w:pPr>
              <w:spacing w:before="20" w:after="20"/>
              <w:jc w:val="center"/>
            </w:pPr>
            <w:r/>
            <w:r>
              <w:rPr>
                <w:rFonts w:ascii="Times New Roman" w:hAnsi="Times New Roman"/>
                <w:b w:val="0"/>
                <w:sz w:val="18"/>
              </w:rPr>
              <w:t>L02</w:t>
            </w:r>
          </w:p>
        </w:tc>
        <w:tc>
          <w:tcPr>
            <w:tcW w:type="dxa" w:w="737"/>
          </w:tcPr>
          <w:p>
            <w:pPr>
              <w:spacing w:before="20" w:after="20"/>
              <w:jc w:val="center"/>
            </w:pPr>
            <w:r/>
            <w:r>
              <w:rPr>
                <w:rFonts w:ascii="Times New Roman" w:hAnsi="Times New Roman"/>
                <w:b w:val="0"/>
                <w:sz w:val="18"/>
              </w:rPr>
              <w:t>6853</w:t>
            </w:r>
          </w:p>
        </w:tc>
        <w:tc>
          <w:tcPr>
            <w:tcW w:type="dxa" w:w="737"/>
          </w:tcPr>
          <w:p>
            <w:pPr>
              <w:spacing w:before="20" w:after="20"/>
              <w:jc w:val="center"/>
            </w:pPr>
            <w:r/>
            <w:r>
              <w:rPr>
                <w:rFonts w:ascii="Times New Roman" w:hAnsi="Times New Roman"/>
                <w:b w:val="0"/>
                <w:sz w:val="18"/>
              </w:rPr>
              <w:t>2116</w:t>
            </w:r>
          </w:p>
        </w:tc>
        <w:tc>
          <w:tcPr>
            <w:tcW w:type="dxa" w:w="737"/>
          </w:tcPr>
          <w:p>
            <w:pPr>
              <w:spacing w:before="20" w:after="20"/>
              <w:jc w:val="center"/>
            </w:pPr>
            <w:r/>
            <w:r>
              <w:rPr>
                <w:rFonts w:ascii="Times New Roman" w:hAnsi="Times New Roman"/>
                <w:b w:val="0"/>
                <w:sz w:val="18"/>
              </w:rPr>
              <w:t>1426</w:t>
            </w:r>
          </w:p>
        </w:tc>
        <w:tc>
          <w:tcPr>
            <w:tcW w:type="dxa" w:w="794"/>
          </w:tcPr>
          <w:p>
            <w:pPr>
              <w:spacing w:before="20" w:after="20"/>
              <w:jc w:val="center"/>
            </w:pPr>
            <w:r/>
            <w:r>
              <w:rPr>
                <w:rFonts w:ascii="Times New Roman" w:hAnsi="Times New Roman"/>
                <w:b w:val="0"/>
                <w:sz w:val="18"/>
              </w:rPr>
              <w:t>10395</w:t>
            </w:r>
          </w:p>
        </w:tc>
        <w:tc>
          <w:tcPr>
            <w:tcW w:type="dxa" w:w="794"/>
          </w:tcPr>
          <w:p>
            <w:pPr>
              <w:spacing w:before="20" w:after="20"/>
              <w:jc w:val="center"/>
            </w:pPr>
            <w:r/>
            <w:r>
              <w:rPr>
                <w:rFonts w:ascii="Times New Roman" w:hAnsi="Times New Roman"/>
                <w:b w:val="0"/>
                <w:sz w:val="18"/>
              </w:rPr>
              <w:t>1638.3</w:t>
            </w:r>
          </w:p>
        </w:tc>
        <w:tc>
          <w:tcPr>
            <w:tcW w:type="dxa" w:w="737"/>
          </w:tcPr>
          <w:p>
            <w:pPr>
              <w:spacing w:before="20" w:after="20"/>
              <w:jc w:val="center"/>
            </w:pPr>
            <w:r/>
            <w:r>
              <w:rPr>
                <w:rFonts w:ascii="Times New Roman" w:hAnsi="Times New Roman"/>
                <w:b w:val="0"/>
                <w:sz w:val="18"/>
              </w:rPr>
              <w:t>46.5</w:t>
            </w:r>
          </w:p>
        </w:tc>
        <w:tc>
          <w:tcPr>
            <w:tcW w:type="dxa" w:w="737"/>
          </w:tcPr>
          <w:p>
            <w:pPr>
              <w:spacing w:before="20" w:after="20"/>
              <w:jc w:val="center"/>
            </w:pPr>
            <w:r/>
            <w:r>
              <w:rPr>
                <w:rFonts w:ascii="Times New Roman" w:hAnsi="Times New Roman"/>
                <w:b w:val="0"/>
                <w:sz w:val="18"/>
              </w:rPr>
              <w:t>1684.8</w:t>
            </w:r>
          </w:p>
        </w:tc>
        <w:tc>
          <w:tcPr>
            <w:tcW w:type="dxa" w:w="794"/>
          </w:tcPr>
          <w:p>
            <w:pPr>
              <w:spacing w:before="20" w:after="20"/>
              <w:jc w:val="center"/>
            </w:pPr>
            <w:r/>
            <w:r>
              <w:rPr>
                <w:rFonts w:ascii="Times New Roman" w:hAnsi="Times New Roman"/>
                <w:b w:val="0"/>
                <w:sz w:val="18"/>
              </w:rPr>
              <w:t>12079.8</w:t>
            </w:r>
          </w:p>
        </w:tc>
        <w:tc>
          <w:tcPr>
            <w:tcW w:type="dxa" w:w="737"/>
          </w:tcPr>
          <w:p>
            <w:pPr>
              <w:spacing w:before="20" w:after="20"/>
              <w:jc w:val="center"/>
            </w:pPr>
            <w:r/>
            <w:r>
              <w:rPr>
                <w:rFonts w:ascii="Times New Roman" w:hAnsi="Times New Roman"/>
                <w:b w:val="0"/>
                <w:sz w:val="18"/>
              </w:rPr>
              <w:t>0.1395</w:t>
            </w:r>
          </w:p>
        </w:tc>
      </w:tr>
      <w:tr>
        <w:tc>
          <w:tcPr>
            <w:tcW w:type="dxa" w:w="680"/>
          </w:tcPr>
          <w:p>
            <w:pPr>
              <w:spacing w:before="20" w:after="20"/>
              <w:jc w:val="center"/>
            </w:pPr>
            <w:r/>
            <w:r>
              <w:rPr>
                <w:rFonts w:ascii="Times New Roman" w:hAnsi="Times New Roman"/>
                <w:b w:val="0"/>
                <w:sz w:val="18"/>
              </w:rPr>
              <w:t>L03</w:t>
            </w:r>
          </w:p>
        </w:tc>
        <w:tc>
          <w:tcPr>
            <w:tcW w:type="dxa" w:w="737"/>
          </w:tcPr>
          <w:p>
            <w:pPr>
              <w:spacing w:before="20" w:after="20"/>
              <w:jc w:val="center"/>
            </w:pPr>
            <w:r/>
            <w:r>
              <w:rPr>
                <w:rFonts w:ascii="Times New Roman" w:hAnsi="Times New Roman"/>
                <w:b w:val="0"/>
                <w:sz w:val="18"/>
              </w:rPr>
              <w:t>13092</w:t>
            </w:r>
          </w:p>
        </w:tc>
        <w:tc>
          <w:tcPr>
            <w:tcW w:type="dxa" w:w="737"/>
          </w:tcPr>
          <w:p>
            <w:pPr>
              <w:spacing w:before="20" w:after="20"/>
              <w:jc w:val="center"/>
            </w:pPr>
            <w:r/>
            <w:r>
              <w:rPr>
                <w:rFonts w:ascii="Times New Roman" w:hAnsi="Times New Roman"/>
                <w:b w:val="0"/>
                <w:sz w:val="18"/>
              </w:rPr>
              <w:t>3482</w:t>
            </w:r>
          </w:p>
        </w:tc>
        <w:tc>
          <w:tcPr>
            <w:tcW w:type="dxa" w:w="737"/>
          </w:tcPr>
          <w:p>
            <w:pPr>
              <w:spacing w:before="20" w:after="20"/>
              <w:jc w:val="center"/>
            </w:pPr>
            <w:r/>
            <w:r>
              <w:rPr>
                <w:rFonts w:ascii="Times New Roman" w:hAnsi="Times New Roman"/>
                <w:b w:val="0"/>
                <w:sz w:val="18"/>
              </w:rPr>
              <w:t>2811</w:t>
            </w:r>
          </w:p>
        </w:tc>
        <w:tc>
          <w:tcPr>
            <w:tcW w:type="dxa" w:w="794"/>
          </w:tcPr>
          <w:p>
            <w:pPr>
              <w:spacing w:before="20" w:after="20"/>
              <w:jc w:val="center"/>
            </w:pPr>
            <w:r/>
            <w:r>
              <w:rPr>
                <w:rFonts w:ascii="Times New Roman" w:hAnsi="Times New Roman"/>
                <w:b w:val="0"/>
                <w:sz w:val="18"/>
              </w:rPr>
              <w:t>19385</w:t>
            </w:r>
          </w:p>
        </w:tc>
        <w:tc>
          <w:tcPr>
            <w:tcW w:type="dxa" w:w="794"/>
          </w:tcPr>
          <w:p>
            <w:pPr>
              <w:spacing w:before="20" w:after="20"/>
              <w:jc w:val="center"/>
            </w:pPr>
            <w:r/>
            <w:r>
              <w:rPr>
                <w:rFonts w:ascii="Times New Roman" w:hAnsi="Times New Roman"/>
                <w:b w:val="0"/>
                <w:sz w:val="18"/>
              </w:rPr>
              <w:t>1395.8</w:t>
            </w:r>
          </w:p>
        </w:tc>
        <w:tc>
          <w:tcPr>
            <w:tcW w:type="dxa" w:w="737"/>
          </w:tcPr>
          <w:p>
            <w:pPr>
              <w:spacing w:before="20" w:after="20"/>
              <w:jc w:val="center"/>
            </w:pPr>
            <w:r/>
            <w:r>
              <w:rPr>
                <w:rFonts w:ascii="Times New Roman" w:hAnsi="Times New Roman"/>
                <w:b w:val="0"/>
                <w:sz w:val="18"/>
              </w:rPr>
              <w:t>89.6</w:t>
            </w:r>
          </w:p>
        </w:tc>
        <w:tc>
          <w:tcPr>
            <w:tcW w:type="dxa" w:w="737"/>
          </w:tcPr>
          <w:p>
            <w:pPr>
              <w:spacing w:before="20" w:after="20"/>
              <w:jc w:val="center"/>
            </w:pPr>
            <w:r/>
            <w:r>
              <w:rPr>
                <w:rFonts w:ascii="Times New Roman" w:hAnsi="Times New Roman"/>
                <w:b w:val="0"/>
                <w:sz w:val="18"/>
              </w:rPr>
              <w:t>1485.3</w:t>
            </w:r>
          </w:p>
        </w:tc>
        <w:tc>
          <w:tcPr>
            <w:tcW w:type="dxa" w:w="794"/>
          </w:tcPr>
          <w:p>
            <w:pPr>
              <w:spacing w:before="20" w:after="20"/>
              <w:jc w:val="center"/>
            </w:pPr>
            <w:r/>
            <w:r>
              <w:rPr>
                <w:rFonts w:ascii="Times New Roman" w:hAnsi="Times New Roman"/>
                <w:b w:val="0"/>
                <w:sz w:val="18"/>
              </w:rPr>
              <w:t>20870.3</w:t>
            </w:r>
          </w:p>
        </w:tc>
        <w:tc>
          <w:tcPr>
            <w:tcW w:type="dxa" w:w="737"/>
          </w:tcPr>
          <w:p>
            <w:pPr>
              <w:spacing w:before="20" w:after="20"/>
              <w:jc w:val="center"/>
            </w:pPr>
            <w:r/>
            <w:r>
              <w:rPr>
                <w:rFonts w:ascii="Times New Roman" w:hAnsi="Times New Roman"/>
                <w:b w:val="0"/>
                <w:sz w:val="18"/>
              </w:rPr>
              <w:t>0.0712</w:t>
            </w:r>
          </w:p>
        </w:tc>
      </w:tr>
      <w:tr>
        <w:tc>
          <w:tcPr>
            <w:tcW w:type="dxa" w:w="680"/>
          </w:tcPr>
          <w:p>
            <w:pPr>
              <w:spacing w:before="20" w:after="20"/>
              <w:jc w:val="center"/>
            </w:pPr>
            <w:r/>
            <w:r>
              <w:rPr>
                <w:rFonts w:ascii="Times New Roman" w:hAnsi="Times New Roman"/>
                <w:b w:val="0"/>
                <w:sz w:val="18"/>
              </w:rPr>
              <w:t>L04</w:t>
            </w:r>
          </w:p>
        </w:tc>
        <w:tc>
          <w:tcPr>
            <w:tcW w:type="dxa" w:w="737"/>
          </w:tcPr>
          <w:p>
            <w:pPr>
              <w:spacing w:before="20" w:after="20"/>
              <w:jc w:val="center"/>
            </w:pPr>
            <w:r/>
            <w:r>
              <w:rPr>
                <w:rFonts w:ascii="Times New Roman" w:hAnsi="Times New Roman"/>
                <w:b w:val="0"/>
                <w:sz w:val="18"/>
              </w:rPr>
              <w:t>6104</w:t>
            </w:r>
          </w:p>
        </w:tc>
        <w:tc>
          <w:tcPr>
            <w:tcW w:type="dxa" w:w="737"/>
          </w:tcPr>
          <w:p>
            <w:pPr>
              <w:spacing w:before="20" w:after="20"/>
              <w:jc w:val="center"/>
            </w:pPr>
            <w:r/>
            <w:r>
              <w:rPr>
                <w:rFonts w:ascii="Times New Roman" w:hAnsi="Times New Roman"/>
                <w:b w:val="0"/>
                <w:sz w:val="18"/>
              </w:rPr>
              <w:t>1974</w:t>
            </w:r>
          </w:p>
        </w:tc>
        <w:tc>
          <w:tcPr>
            <w:tcW w:type="dxa" w:w="737"/>
          </w:tcPr>
          <w:p>
            <w:pPr>
              <w:spacing w:before="20" w:after="20"/>
              <w:jc w:val="center"/>
            </w:pPr>
            <w:r/>
            <w:r>
              <w:rPr>
                <w:rFonts w:ascii="Times New Roman" w:hAnsi="Times New Roman"/>
                <w:b w:val="0"/>
                <w:sz w:val="18"/>
              </w:rPr>
              <w:t>1682</w:t>
            </w:r>
          </w:p>
        </w:tc>
        <w:tc>
          <w:tcPr>
            <w:tcW w:type="dxa" w:w="794"/>
          </w:tcPr>
          <w:p>
            <w:pPr>
              <w:spacing w:before="20" w:after="20"/>
              <w:jc w:val="center"/>
            </w:pPr>
            <w:r/>
            <w:r>
              <w:rPr>
                <w:rFonts w:ascii="Times New Roman" w:hAnsi="Times New Roman"/>
                <w:b w:val="0"/>
                <w:sz w:val="18"/>
              </w:rPr>
              <w:t>9760</w:t>
            </w:r>
          </w:p>
        </w:tc>
        <w:tc>
          <w:tcPr>
            <w:tcW w:type="dxa" w:w="794"/>
          </w:tcPr>
          <w:p>
            <w:pPr>
              <w:spacing w:before="20" w:after="20"/>
              <w:jc w:val="center"/>
            </w:pPr>
            <w:r/>
            <w:r>
              <w:rPr>
                <w:rFonts w:ascii="Times New Roman" w:hAnsi="Times New Roman"/>
                <w:b w:val="0"/>
                <w:sz w:val="18"/>
              </w:rPr>
              <w:t>3228.0</w:t>
            </w:r>
          </w:p>
        </w:tc>
        <w:tc>
          <w:tcPr>
            <w:tcW w:type="dxa" w:w="737"/>
          </w:tcPr>
          <w:p>
            <w:pPr>
              <w:spacing w:before="20" w:after="20"/>
              <w:jc w:val="center"/>
            </w:pPr>
            <w:r/>
            <w:r>
              <w:rPr>
                <w:rFonts w:ascii="Times New Roman" w:hAnsi="Times New Roman"/>
                <w:b w:val="0"/>
                <w:sz w:val="18"/>
              </w:rPr>
              <w:t>124.6</w:t>
            </w:r>
          </w:p>
        </w:tc>
        <w:tc>
          <w:tcPr>
            <w:tcW w:type="dxa" w:w="737"/>
          </w:tcPr>
          <w:p>
            <w:pPr>
              <w:spacing w:before="20" w:after="20"/>
              <w:jc w:val="center"/>
            </w:pPr>
            <w:r/>
            <w:r>
              <w:rPr>
                <w:rFonts w:ascii="Times New Roman" w:hAnsi="Times New Roman"/>
                <w:b w:val="0"/>
                <w:sz w:val="18"/>
              </w:rPr>
              <w:t>3352.6</w:t>
            </w:r>
          </w:p>
        </w:tc>
        <w:tc>
          <w:tcPr>
            <w:tcW w:type="dxa" w:w="794"/>
          </w:tcPr>
          <w:p>
            <w:pPr>
              <w:spacing w:before="20" w:after="20"/>
              <w:jc w:val="center"/>
            </w:pPr>
            <w:r/>
            <w:r>
              <w:rPr>
                <w:rFonts w:ascii="Times New Roman" w:hAnsi="Times New Roman"/>
                <w:b w:val="0"/>
                <w:sz w:val="18"/>
              </w:rPr>
              <w:t>13112.6</w:t>
            </w:r>
          </w:p>
        </w:tc>
        <w:tc>
          <w:tcPr>
            <w:tcW w:type="dxa" w:w="737"/>
          </w:tcPr>
          <w:p>
            <w:pPr>
              <w:spacing w:before="20" w:after="20"/>
              <w:jc w:val="center"/>
            </w:pPr>
            <w:r/>
            <w:r>
              <w:rPr>
                <w:rFonts w:ascii="Times New Roman" w:hAnsi="Times New Roman"/>
                <w:b w:val="0"/>
                <w:sz w:val="18"/>
              </w:rPr>
              <w:t>0.2557</w:t>
            </w:r>
          </w:p>
        </w:tc>
      </w:tr>
      <w:tr>
        <w:tc>
          <w:tcPr>
            <w:tcW w:type="dxa" w:w="680"/>
          </w:tcPr>
          <w:p>
            <w:pPr>
              <w:spacing w:before="20" w:after="20"/>
              <w:jc w:val="center"/>
            </w:pPr>
            <w:r/>
            <w:r>
              <w:rPr>
                <w:rFonts w:ascii="Times New Roman" w:hAnsi="Times New Roman"/>
                <w:b w:val="0"/>
                <w:sz w:val="18"/>
              </w:rPr>
              <w:t>L05</w:t>
            </w:r>
          </w:p>
        </w:tc>
        <w:tc>
          <w:tcPr>
            <w:tcW w:type="dxa" w:w="737"/>
          </w:tcPr>
          <w:p>
            <w:pPr>
              <w:spacing w:before="20" w:after="20"/>
              <w:jc w:val="center"/>
            </w:pPr>
            <w:r/>
            <w:r>
              <w:rPr>
                <w:rFonts w:ascii="Times New Roman" w:hAnsi="Times New Roman"/>
                <w:b w:val="0"/>
                <w:sz w:val="18"/>
              </w:rPr>
              <w:t>6597</w:t>
            </w:r>
          </w:p>
        </w:tc>
        <w:tc>
          <w:tcPr>
            <w:tcW w:type="dxa" w:w="737"/>
          </w:tcPr>
          <w:p>
            <w:pPr>
              <w:spacing w:before="20" w:after="20"/>
              <w:jc w:val="center"/>
            </w:pPr>
            <w:r/>
            <w:r>
              <w:rPr>
                <w:rFonts w:ascii="Times New Roman" w:hAnsi="Times New Roman"/>
                <w:b w:val="0"/>
                <w:sz w:val="18"/>
              </w:rPr>
              <w:t>1838</w:t>
            </w:r>
          </w:p>
        </w:tc>
        <w:tc>
          <w:tcPr>
            <w:tcW w:type="dxa" w:w="737"/>
          </w:tcPr>
          <w:p>
            <w:pPr>
              <w:spacing w:before="20" w:after="20"/>
              <w:jc w:val="center"/>
            </w:pPr>
            <w:r/>
            <w:r>
              <w:rPr>
                <w:rFonts w:ascii="Times New Roman" w:hAnsi="Times New Roman"/>
                <w:b w:val="0"/>
                <w:sz w:val="18"/>
              </w:rPr>
              <w:t>1478</w:t>
            </w:r>
          </w:p>
        </w:tc>
        <w:tc>
          <w:tcPr>
            <w:tcW w:type="dxa" w:w="794"/>
          </w:tcPr>
          <w:p>
            <w:pPr>
              <w:spacing w:before="20" w:after="20"/>
              <w:jc w:val="center"/>
            </w:pPr>
            <w:r/>
            <w:r>
              <w:rPr>
                <w:rFonts w:ascii="Times New Roman" w:hAnsi="Times New Roman"/>
                <w:b w:val="0"/>
                <w:sz w:val="18"/>
              </w:rPr>
              <w:t>9913</w:t>
            </w:r>
          </w:p>
        </w:tc>
        <w:tc>
          <w:tcPr>
            <w:tcW w:type="dxa" w:w="794"/>
          </w:tcPr>
          <w:p>
            <w:pPr>
              <w:spacing w:before="20" w:after="20"/>
              <w:jc w:val="center"/>
            </w:pPr>
            <w:r/>
            <w:r>
              <w:rPr>
                <w:rFonts w:ascii="Times New Roman" w:hAnsi="Times New Roman"/>
                <w:b w:val="0"/>
                <w:sz w:val="18"/>
              </w:rPr>
              <w:t>3213.7</w:t>
            </w:r>
          </w:p>
        </w:tc>
        <w:tc>
          <w:tcPr>
            <w:tcW w:type="dxa" w:w="737"/>
          </w:tcPr>
          <w:p>
            <w:pPr>
              <w:spacing w:before="20" w:after="20"/>
              <w:jc w:val="center"/>
            </w:pPr>
            <w:r/>
            <w:r>
              <w:rPr>
                <w:rFonts w:ascii="Times New Roman" w:hAnsi="Times New Roman"/>
                <w:b w:val="0"/>
                <w:sz w:val="18"/>
              </w:rPr>
              <w:t>95.5</w:t>
            </w:r>
          </w:p>
        </w:tc>
        <w:tc>
          <w:tcPr>
            <w:tcW w:type="dxa" w:w="737"/>
          </w:tcPr>
          <w:p>
            <w:pPr>
              <w:spacing w:before="20" w:after="20"/>
              <w:jc w:val="center"/>
            </w:pPr>
            <w:r/>
            <w:r>
              <w:rPr>
                <w:rFonts w:ascii="Times New Roman" w:hAnsi="Times New Roman"/>
                <w:b w:val="0"/>
                <w:sz w:val="18"/>
              </w:rPr>
              <w:t>3309.2</w:t>
            </w:r>
          </w:p>
        </w:tc>
        <w:tc>
          <w:tcPr>
            <w:tcW w:type="dxa" w:w="794"/>
          </w:tcPr>
          <w:p>
            <w:pPr>
              <w:spacing w:before="20" w:after="20"/>
              <w:jc w:val="center"/>
            </w:pPr>
            <w:r/>
            <w:r>
              <w:rPr>
                <w:rFonts w:ascii="Times New Roman" w:hAnsi="Times New Roman"/>
                <w:b w:val="0"/>
                <w:sz w:val="18"/>
              </w:rPr>
              <w:t>13222.2</w:t>
            </w:r>
          </w:p>
        </w:tc>
        <w:tc>
          <w:tcPr>
            <w:tcW w:type="dxa" w:w="737"/>
          </w:tcPr>
          <w:p>
            <w:pPr>
              <w:spacing w:before="20" w:after="20"/>
              <w:jc w:val="center"/>
            </w:pPr>
            <w:r/>
            <w:r>
              <w:rPr>
                <w:rFonts w:ascii="Times New Roman" w:hAnsi="Times New Roman"/>
                <w:b w:val="0"/>
                <w:sz w:val="18"/>
              </w:rPr>
              <w:t>0.2503</w:t>
            </w:r>
          </w:p>
        </w:tc>
      </w:tr>
      <w:tr>
        <w:tc>
          <w:tcPr>
            <w:tcW w:type="dxa" w:w="680"/>
          </w:tcPr>
          <w:p>
            <w:pPr>
              <w:spacing w:before="20" w:after="20"/>
              <w:jc w:val="center"/>
            </w:pPr>
            <w:r/>
            <w:r>
              <w:rPr>
                <w:rFonts w:ascii="Times New Roman" w:hAnsi="Times New Roman"/>
                <w:b w:val="0"/>
                <w:sz w:val="18"/>
              </w:rPr>
              <w:t>L06</w:t>
            </w:r>
          </w:p>
        </w:tc>
        <w:tc>
          <w:tcPr>
            <w:tcW w:type="dxa" w:w="737"/>
          </w:tcPr>
          <w:p>
            <w:pPr>
              <w:spacing w:before="20" w:after="20"/>
              <w:jc w:val="center"/>
            </w:pPr>
            <w:r/>
            <w:r>
              <w:rPr>
                <w:rFonts w:ascii="Times New Roman" w:hAnsi="Times New Roman"/>
                <w:b w:val="0"/>
                <w:sz w:val="18"/>
              </w:rPr>
              <w:t>7587</w:t>
            </w:r>
          </w:p>
        </w:tc>
        <w:tc>
          <w:tcPr>
            <w:tcW w:type="dxa" w:w="737"/>
          </w:tcPr>
          <w:p>
            <w:pPr>
              <w:spacing w:before="20" w:after="20"/>
              <w:jc w:val="center"/>
            </w:pPr>
            <w:r/>
            <w:r>
              <w:rPr>
                <w:rFonts w:ascii="Times New Roman" w:hAnsi="Times New Roman"/>
                <w:b w:val="0"/>
                <w:sz w:val="18"/>
              </w:rPr>
              <w:t>1903</w:t>
            </w:r>
          </w:p>
        </w:tc>
        <w:tc>
          <w:tcPr>
            <w:tcW w:type="dxa" w:w="737"/>
          </w:tcPr>
          <w:p>
            <w:pPr>
              <w:spacing w:before="20" w:after="20"/>
              <w:jc w:val="center"/>
            </w:pPr>
            <w:r/>
            <w:r>
              <w:rPr>
                <w:rFonts w:ascii="Times New Roman" w:hAnsi="Times New Roman"/>
                <w:b w:val="0"/>
                <w:sz w:val="18"/>
              </w:rPr>
              <w:t>1373</w:t>
            </w:r>
          </w:p>
        </w:tc>
        <w:tc>
          <w:tcPr>
            <w:tcW w:type="dxa" w:w="794"/>
          </w:tcPr>
          <w:p>
            <w:pPr>
              <w:spacing w:before="20" w:after="20"/>
              <w:jc w:val="center"/>
            </w:pPr>
            <w:r/>
            <w:r>
              <w:rPr>
                <w:rFonts w:ascii="Times New Roman" w:hAnsi="Times New Roman"/>
                <w:b w:val="0"/>
                <w:sz w:val="18"/>
              </w:rPr>
              <w:t>10863</w:t>
            </w:r>
          </w:p>
        </w:tc>
        <w:tc>
          <w:tcPr>
            <w:tcW w:type="dxa" w:w="794"/>
          </w:tcPr>
          <w:p>
            <w:pPr>
              <w:spacing w:before="20" w:after="20"/>
              <w:jc w:val="center"/>
            </w:pPr>
            <w:r/>
            <w:r>
              <w:rPr>
                <w:rFonts w:ascii="Times New Roman" w:hAnsi="Times New Roman"/>
                <w:b w:val="0"/>
                <w:sz w:val="18"/>
              </w:rPr>
              <w:t>2062.1</w:t>
            </w:r>
          </w:p>
        </w:tc>
        <w:tc>
          <w:tcPr>
            <w:tcW w:type="dxa" w:w="737"/>
          </w:tcPr>
          <w:p>
            <w:pPr>
              <w:spacing w:before="20" w:after="20"/>
              <w:jc w:val="center"/>
            </w:pPr>
            <w:r/>
            <w:r>
              <w:rPr>
                <w:rFonts w:ascii="Times New Roman" w:hAnsi="Times New Roman"/>
                <w:b w:val="0"/>
                <w:sz w:val="18"/>
              </w:rPr>
              <w:t>183.7</w:t>
            </w:r>
          </w:p>
        </w:tc>
        <w:tc>
          <w:tcPr>
            <w:tcW w:type="dxa" w:w="737"/>
          </w:tcPr>
          <w:p>
            <w:pPr>
              <w:spacing w:before="20" w:after="20"/>
              <w:jc w:val="center"/>
            </w:pPr>
            <w:r/>
            <w:r>
              <w:rPr>
                <w:rFonts w:ascii="Times New Roman" w:hAnsi="Times New Roman"/>
                <w:b w:val="0"/>
                <w:sz w:val="18"/>
              </w:rPr>
              <w:t>2245.8</w:t>
            </w:r>
          </w:p>
        </w:tc>
        <w:tc>
          <w:tcPr>
            <w:tcW w:type="dxa" w:w="794"/>
          </w:tcPr>
          <w:p>
            <w:pPr>
              <w:spacing w:before="20" w:after="20"/>
              <w:jc w:val="center"/>
            </w:pPr>
            <w:r/>
            <w:r>
              <w:rPr>
                <w:rFonts w:ascii="Times New Roman" w:hAnsi="Times New Roman"/>
                <w:b w:val="0"/>
                <w:sz w:val="18"/>
              </w:rPr>
              <w:t>13108.8</w:t>
            </w:r>
          </w:p>
        </w:tc>
        <w:tc>
          <w:tcPr>
            <w:tcW w:type="dxa" w:w="737"/>
          </w:tcPr>
          <w:p>
            <w:pPr>
              <w:spacing w:before="20" w:after="20"/>
              <w:jc w:val="center"/>
            </w:pPr>
            <w:r/>
            <w:r>
              <w:rPr>
                <w:rFonts w:ascii="Times New Roman" w:hAnsi="Times New Roman"/>
                <w:b w:val="0"/>
                <w:sz w:val="18"/>
              </w:rPr>
              <w:t>0.1713</w:t>
            </w:r>
          </w:p>
        </w:tc>
      </w:tr>
      <w:tr>
        <w:tc>
          <w:tcPr>
            <w:tcW w:type="dxa" w:w="680"/>
          </w:tcPr>
          <w:p>
            <w:pPr>
              <w:spacing w:before="20" w:after="20"/>
              <w:jc w:val="center"/>
            </w:pPr>
            <w:r/>
            <w:r>
              <w:rPr>
                <w:rFonts w:ascii="Times New Roman" w:hAnsi="Times New Roman"/>
                <w:b w:val="0"/>
                <w:sz w:val="18"/>
              </w:rPr>
              <w:t>L07</w:t>
            </w:r>
          </w:p>
        </w:tc>
        <w:tc>
          <w:tcPr>
            <w:tcW w:type="dxa" w:w="737"/>
          </w:tcPr>
          <w:p>
            <w:pPr>
              <w:spacing w:before="20" w:after="20"/>
              <w:jc w:val="center"/>
            </w:pPr>
            <w:r/>
            <w:r>
              <w:rPr>
                <w:rFonts w:ascii="Times New Roman" w:hAnsi="Times New Roman"/>
                <w:b w:val="0"/>
                <w:sz w:val="18"/>
              </w:rPr>
              <w:t>18923</w:t>
            </w:r>
          </w:p>
        </w:tc>
        <w:tc>
          <w:tcPr>
            <w:tcW w:type="dxa" w:w="737"/>
          </w:tcPr>
          <w:p>
            <w:pPr>
              <w:spacing w:before="20" w:after="20"/>
              <w:jc w:val="center"/>
            </w:pPr>
            <w:r/>
            <w:r>
              <w:rPr>
                <w:rFonts w:ascii="Times New Roman" w:hAnsi="Times New Roman"/>
                <w:b w:val="0"/>
                <w:sz w:val="18"/>
              </w:rPr>
              <w:t>4075</w:t>
            </w:r>
          </w:p>
        </w:tc>
        <w:tc>
          <w:tcPr>
            <w:tcW w:type="dxa" w:w="737"/>
          </w:tcPr>
          <w:p>
            <w:pPr>
              <w:spacing w:before="20" w:after="20"/>
              <w:jc w:val="center"/>
            </w:pPr>
            <w:r/>
            <w:r>
              <w:rPr>
                <w:rFonts w:ascii="Times New Roman" w:hAnsi="Times New Roman"/>
                <w:b w:val="0"/>
                <w:sz w:val="18"/>
              </w:rPr>
              <w:t>2148</w:t>
            </w:r>
          </w:p>
        </w:tc>
        <w:tc>
          <w:tcPr>
            <w:tcW w:type="dxa" w:w="794"/>
          </w:tcPr>
          <w:p>
            <w:pPr>
              <w:spacing w:before="20" w:after="20"/>
              <w:jc w:val="center"/>
            </w:pPr>
            <w:r/>
            <w:r>
              <w:rPr>
                <w:rFonts w:ascii="Times New Roman" w:hAnsi="Times New Roman"/>
                <w:b w:val="0"/>
                <w:sz w:val="18"/>
              </w:rPr>
              <w:t>25146</w:t>
            </w:r>
          </w:p>
        </w:tc>
        <w:tc>
          <w:tcPr>
            <w:tcW w:type="dxa" w:w="794"/>
          </w:tcPr>
          <w:p>
            <w:pPr>
              <w:spacing w:before="20" w:after="20"/>
              <w:jc w:val="center"/>
            </w:pPr>
            <w:r/>
            <w:r>
              <w:rPr>
                <w:rFonts w:ascii="Times New Roman" w:hAnsi="Times New Roman"/>
                <w:b w:val="0"/>
                <w:sz w:val="18"/>
              </w:rPr>
              <w:t>0.0</w:t>
            </w:r>
          </w:p>
        </w:tc>
        <w:tc>
          <w:tcPr>
            <w:tcW w:type="dxa" w:w="737"/>
          </w:tcPr>
          <w:p>
            <w:pPr>
              <w:spacing w:before="20" w:after="20"/>
              <w:jc w:val="center"/>
            </w:pPr>
            <w:r/>
            <w:r>
              <w:rPr>
                <w:rFonts w:ascii="Times New Roman" w:hAnsi="Times New Roman"/>
                <w:b w:val="0"/>
                <w:sz w:val="18"/>
              </w:rPr>
              <w:t>0.0</w:t>
            </w:r>
          </w:p>
        </w:tc>
        <w:tc>
          <w:tcPr>
            <w:tcW w:type="dxa" w:w="737"/>
          </w:tcPr>
          <w:p>
            <w:pPr>
              <w:spacing w:before="20" w:after="20"/>
              <w:jc w:val="center"/>
            </w:pPr>
            <w:r/>
            <w:r>
              <w:rPr>
                <w:rFonts w:ascii="Times New Roman" w:hAnsi="Times New Roman"/>
                <w:b w:val="0"/>
                <w:sz w:val="18"/>
              </w:rPr>
              <w:t>0.0</w:t>
            </w:r>
          </w:p>
        </w:tc>
        <w:tc>
          <w:tcPr>
            <w:tcW w:type="dxa" w:w="794"/>
          </w:tcPr>
          <w:p>
            <w:pPr>
              <w:spacing w:before="20" w:after="20"/>
              <w:jc w:val="center"/>
            </w:pPr>
            <w:r/>
            <w:r>
              <w:rPr>
                <w:rFonts w:ascii="Times New Roman" w:hAnsi="Times New Roman"/>
                <w:b w:val="0"/>
                <w:sz w:val="18"/>
              </w:rPr>
              <w:t>25146.0</w:t>
            </w:r>
          </w:p>
        </w:tc>
        <w:tc>
          <w:tcPr>
            <w:tcW w:type="dxa" w:w="737"/>
          </w:tcPr>
          <w:p>
            <w:pPr>
              <w:spacing w:before="20" w:after="20"/>
              <w:jc w:val="center"/>
            </w:pPr>
            <w:r/>
            <w:r>
              <w:rPr>
                <w:rFonts w:ascii="Times New Roman" w:hAnsi="Times New Roman"/>
                <w:b w:val="0"/>
                <w:sz w:val="18"/>
              </w:rPr>
              <w:t>0.0000</w:t>
            </w:r>
          </w:p>
        </w:tc>
      </w:tr>
      <w:tr>
        <w:tc>
          <w:tcPr>
            <w:tcW w:type="dxa" w:w="680"/>
          </w:tcPr>
          <w:p>
            <w:pPr>
              <w:spacing w:before="20" w:after="20"/>
              <w:jc w:val="center"/>
            </w:pPr>
            <w:r/>
            <w:r>
              <w:rPr>
                <w:rFonts w:ascii="Times New Roman" w:hAnsi="Times New Roman"/>
                <w:b w:val="0"/>
                <w:sz w:val="18"/>
              </w:rPr>
              <w:t>L08</w:t>
            </w:r>
          </w:p>
        </w:tc>
        <w:tc>
          <w:tcPr>
            <w:tcW w:type="dxa" w:w="737"/>
          </w:tcPr>
          <w:p>
            <w:pPr>
              <w:spacing w:before="20" w:after="20"/>
              <w:jc w:val="center"/>
            </w:pPr>
            <w:r/>
            <w:r>
              <w:rPr>
                <w:rFonts w:ascii="Times New Roman" w:hAnsi="Times New Roman"/>
                <w:b w:val="0"/>
                <w:sz w:val="18"/>
              </w:rPr>
              <w:t>5571</w:t>
            </w:r>
          </w:p>
        </w:tc>
        <w:tc>
          <w:tcPr>
            <w:tcW w:type="dxa" w:w="737"/>
          </w:tcPr>
          <w:p>
            <w:pPr>
              <w:spacing w:before="20" w:after="20"/>
              <w:jc w:val="center"/>
            </w:pPr>
            <w:r/>
            <w:r>
              <w:rPr>
                <w:rFonts w:ascii="Times New Roman" w:hAnsi="Times New Roman"/>
                <w:b w:val="0"/>
                <w:sz w:val="18"/>
              </w:rPr>
              <w:t>1817</w:t>
            </w:r>
          </w:p>
        </w:tc>
        <w:tc>
          <w:tcPr>
            <w:tcW w:type="dxa" w:w="737"/>
          </w:tcPr>
          <w:p>
            <w:pPr>
              <w:spacing w:before="20" w:after="20"/>
              <w:jc w:val="center"/>
            </w:pPr>
            <w:r/>
            <w:r>
              <w:rPr>
                <w:rFonts w:ascii="Times New Roman" w:hAnsi="Times New Roman"/>
                <w:b w:val="0"/>
                <w:sz w:val="18"/>
              </w:rPr>
              <w:t>1548</w:t>
            </w:r>
          </w:p>
        </w:tc>
        <w:tc>
          <w:tcPr>
            <w:tcW w:type="dxa" w:w="794"/>
          </w:tcPr>
          <w:p>
            <w:pPr>
              <w:spacing w:before="20" w:after="20"/>
              <w:jc w:val="center"/>
            </w:pPr>
            <w:r/>
            <w:r>
              <w:rPr>
                <w:rFonts w:ascii="Times New Roman" w:hAnsi="Times New Roman"/>
                <w:b w:val="0"/>
                <w:sz w:val="18"/>
              </w:rPr>
              <w:t>8936</w:t>
            </w:r>
          </w:p>
        </w:tc>
        <w:tc>
          <w:tcPr>
            <w:tcW w:type="dxa" w:w="794"/>
          </w:tcPr>
          <w:p>
            <w:pPr>
              <w:spacing w:before="20" w:after="20"/>
              <w:jc w:val="center"/>
            </w:pPr>
            <w:r/>
            <w:r>
              <w:rPr>
                <w:rFonts w:ascii="Times New Roman" w:hAnsi="Times New Roman"/>
                <w:b w:val="0"/>
                <w:sz w:val="18"/>
              </w:rPr>
              <w:t>3119.0</w:t>
            </w:r>
          </w:p>
        </w:tc>
        <w:tc>
          <w:tcPr>
            <w:tcW w:type="dxa" w:w="737"/>
          </w:tcPr>
          <w:p>
            <w:pPr>
              <w:spacing w:before="20" w:after="20"/>
              <w:jc w:val="center"/>
            </w:pPr>
            <w:r/>
            <w:r>
              <w:rPr>
                <w:rFonts w:ascii="Times New Roman" w:hAnsi="Times New Roman"/>
                <w:b w:val="0"/>
                <w:sz w:val="18"/>
              </w:rPr>
              <w:t>89.2</w:t>
            </w:r>
          </w:p>
        </w:tc>
        <w:tc>
          <w:tcPr>
            <w:tcW w:type="dxa" w:w="737"/>
          </w:tcPr>
          <w:p>
            <w:pPr>
              <w:spacing w:before="20" w:after="20"/>
              <w:jc w:val="center"/>
            </w:pPr>
            <w:r/>
            <w:r>
              <w:rPr>
                <w:rFonts w:ascii="Times New Roman" w:hAnsi="Times New Roman"/>
                <w:b w:val="0"/>
                <w:sz w:val="18"/>
              </w:rPr>
              <w:t>3208.1</w:t>
            </w:r>
          </w:p>
        </w:tc>
        <w:tc>
          <w:tcPr>
            <w:tcW w:type="dxa" w:w="794"/>
          </w:tcPr>
          <w:p>
            <w:pPr>
              <w:spacing w:before="20" w:after="20"/>
              <w:jc w:val="center"/>
            </w:pPr>
            <w:r/>
            <w:r>
              <w:rPr>
                <w:rFonts w:ascii="Times New Roman" w:hAnsi="Times New Roman"/>
                <w:b w:val="0"/>
                <w:sz w:val="18"/>
              </w:rPr>
              <w:t>12144.1</w:t>
            </w:r>
          </w:p>
        </w:tc>
        <w:tc>
          <w:tcPr>
            <w:tcW w:type="dxa" w:w="737"/>
          </w:tcPr>
          <w:p>
            <w:pPr>
              <w:spacing w:before="20" w:after="20"/>
              <w:jc w:val="center"/>
            </w:pPr>
            <w:r/>
            <w:r>
              <w:rPr>
                <w:rFonts w:ascii="Times New Roman" w:hAnsi="Times New Roman"/>
                <w:b w:val="0"/>
                <w:sz w:val="18"/>
              </w:rPr>
              <w:t>0.2642</w:t>
            </w:r>
          </w:p>
        </w:tc>
      </w:tr>
      <w:tr>
        <w:tc>
          <w:tcPr>
            <w:tcW w:type="dxa" w:w="680"/>
          </w:tcPr>
          <w:p>
            <w:pPr>
              <w:spacing w:before="20" w:after="20"/>
              <w:jc w:val="center"/>
            </w:pPr>
            <w:r/>
            <w:r>
              <w:rPr>
                <w:rFonts w:ascii="Times New Roman" w:hAnsi="Times New Roman"/>
                <w:b/>
                <w:sz w:val="18"/>
              </w:rPr>
              <w:t>L09</w:t>
            </w:r>
          </w:p>
        </w:tc>
        <w:tc>
          <w:tcPr>
            <w:tcW w:type="dxa" w:w="737"/>
          </w:tcPr>
          <w:p>
            <w:pPr>
              <w:spacing w:before="20" w:after="20"/>
              <w:jc w:val="center"/>
            </w:pPr>
            <w:r/>
            <w:r>
              <w:rPr>
                <w:rFonts w:ascii="Times New Roman" w:hAnsi="Times New Roman"/>
                <w:b/>
                <w:sz w:val="18"/>
              </w:rPr>
              <w:t>7493</w:t>
            </w:r>
          </w:p>
        </w:tc>
        <w:tc>
          <w:tcPr>
            <w:tcW w:type="dxa" w:w="737"/>
          </w:tcPr>
          <w:p>
            <w:pPr>
              <w:spacing w:before="20" w:after="20"/>
              <w:jc w:val="center"/>
            </w:pPr>
            <w:r/>
            <w:r>
              <w:rPr>
                <w:rFonts w:ascii="Times New Roman" w:hAnsi="Times New Roman"/>
                <w:b/>
                <w:sz w:val="18"/>
              </w:rPr>
              <w:t>1854</w:t>
            </w:r>
          </w:p>
        </w:tc>
        <w:tc>
          <w:tcPr>
            <w:tcW w:type="dxa" w:w="737"/>
          </w:tcPr>
          <w:p>
            <w:pPr>
              <w:spacing w:before="20" w:after="20"/>
              <w:jc w:val="center"/>
            </w:pPr>
            <w:r/>
            <w:r>
              <w:rPr>
                <w:rFonts w:ascii="Times New Roman" w:hAnsi="Times New Roman"/>
                <w:b/>
                <w:sz w:val="18"/>
              </w:rPr>
              <w:t>1760</w:t>
            </w:r>
          </w:p>
        </w:tc>
        <w:tc>
          <w:tcPr>
            <w:tcW w:type="dxa" w:w="794"/>
          </w:tcPr>
          <w:p>
            <w:pPr>
              <w:spacing w:before="20" w:after="20"/>
              <w:jc w:val="center"/>
            </w:pPr>
            <w:r/>
            <w:r>
              <w:rPr>
                <w:rFonts w:ascii="Times New Roman" w:hAnsi="Times New Roman"/>
                <w:b/>
                <w:sz w:val="18"/>
              </w:rPr>
              <w:t>11107</w:t>
            </w:r>
          </w:p>
        </w:tc>
        <w:tc>
          <w:tcPr>
            <w:tcW w:type="dxa" w:w="794"/>
          </w:tcPr>
          <w:p>
            <w:pPr>
              <w:spacing w:before="20" w:after="20"/>
              <w:jc w:val="center"/>
            </w:pPr>
            <w:r/>
            <w:r>
              <w:rPr>
                <w:rFonts w:ascii="Times New Roman" w:hAnsi="Times New Roman"/>
                <w:b/>
                <w:sz w:val="18"/>
              </w:rPr>
              <w:t>2294.8</w:t>
            </w:r>
          </w:p>
        </w:tc>
        <w:tc>
          <w:tcPr>
            <w:tcW w:type="dxa" w:w="737"/>
          </w:tcPr>
          <w:p>
            <w:pPr>
              <w:spacing w:before="20" w:after="20"/>
              <w:jc w:val="center"/>
            </w:pPr>
            <w:r/>
            <w:r>
              <w:rPr>
                <w:rFonts w:ascii="Times New Roman" w:hAnsi="Times New Roman"/>
                <w:b/>
                <w:sz w:val="18"/>
              </w:rPr>
              <w:t>174.1</w:t>
            </w:r>
          </w:p>
        </w:tc>
        <w:tc>
          <w:tcPr>
            <w:tcW w:type="dxa" w:w="737"/>
          </w:tcPr>
          <w:p>
            <w:pPr>
              <w:spacing w:before="20" w:after="20"/>
              <w:jc w:val="center"/>
            </w:pPr>
            <w:r/>
            <w:r>
              <w:rPr>
                <w:rFonts w:ascii="Times New Roman" w:hAnsi="Times New Roman"/>
                <w:b/>
                <w:sz w:val="18"/>
              </w:rPr>
              <w:t>2468.8</w:t>
            </w:r>
          </w:p>
        </w:tc>
        <w:tc>
          <w:tcPr>
            <w:tcW w:type="dxa" w:w="794"/>
          </w:tcPr>
          <w:p>
            <w:pPr>
              <w:spacing w:before="20" w:after="20"/>
              <w:jc w:val="center"/>
            </w:pPr>
            <w:r/>
            <w:r>
              <w:rPr>
                <w:rFonts w:ascii="Times New Roman" w:hAnsi="Times New Roman"/>
                <w:b/>
                <w:sz w:val="18"/>
              </w:rPr>
              <w:t>13575.8</w:t>
            </w:r>
          </w:p>
        </w:tc>
        <w:tc>
          <w:tcPr>
            <w:tcW w:type="dxa" w:w="737"/>
          </w:tcPr>
          <w:p>
            <w:pPr>
              <w:spacing w:before="20" w:after="20"/>
              <w:jc w:val="center"/>
            </w:pPr>
            <w:r/>
            <w:r>
              <w:rPr>
                <w:rFonts w:ascii="Times New Roman" w:hAnsi="Times New Roman"/>
                <w:b/>
                <w:sz w:val="18"/>
              </w:rPr>
              <w:t>0.1819</w:t>
            </w:r>
          </w:p>
        </w:tc>
      </w:tr>
    </w:tbl>
    <w:p/>
    <w:p>
      <w:pPr>
        <w:spacing w:after="120"/>
        <w:jc w:val="center"/>
      </w:pPr>
      <w:r>
        <w:rPr>
          <w:rFonts w:ascii="Times New Roman" w:hAnsi="Times New Roman"/>
          <w:b w:val="0"/>
          <w:i/>
          <w:sz w:val="16"/>
        </w:rPr>
        <w:t>Table 3.1. Complete Integrated Area PSD dataset. Quartz IA, Mullite IA, and Calcite IA are the sums of integrated peak areas from background-subtracted XRD patterns. NASH IA and CASH IA are derived through the semi-empirical gel partition model. Amorphous Fraction = (NASH+CASH) / Total PSD.</w:t>
      </w:r>
    </w:p>
    <w:p>
      <w:pPr>
        <w:spacing w:after="120"/>
      </w:pPr>
      <w:r>
        <w:rPr>
          <w:rFonts w:ascii="Times New Roman" w:hAnsi="Times New Roman"/>
          <w:b/>
          <w:i w:val="0"/>
          <w:sz w:val="20"/>
        </w:rPr>
        <w:t>Key observations from the IA data:</w:t>
      </w:r>
    </w:p>
    <w:p>
      <w:pPr>
        <w:spacing w:after="120"/>
      </w:pPr>
      <w:r>
        <w:rPr>
          <w:rFonts w:ascii="Times New Roman" w:hAnsi="Times New Roman"/>
          <w:b w:val="0"/>
          <w:i w:val="0"/>
          <w:sz w:val="20"/>
        </w:rPr>
        <w:t>• L07 dominates the crystalline IA (25,146) — 2.8× the lowest (L08 = 8,936). This range confirms that the Taguchi L9 design successfully spanned a wide reactivity space.</w:t>
      </w:r>
    </w:p>
    <w:p>
      <w:pPr>
        <w:spacing w:after="120"/>
      </w:pPr>
      <w:r>
        <w:rPr>
          <w:rFonts w:ascii="Times New Roman" w:hAnsi="Times New Roman"/>
          <w:b w:val="0"/>
          <w:i w:val="0"/>
          <w:sz w:val="20"/>
        </w:rPr>
        <w:t>• L04 records the maximum NASH IA (3,228.0) — this is the directly measured anchor value from the integrated amorphous hump. It anchors the entire computational methodology.</w:t>
      </w:r>
    </w:p>
    <w:p>
      <w:pPr>
        <w:spacing w:after="120"/>
      </w:pPr>
      <w:r>
        <w:rPr>
          <w:rFonts w:ascii="Times New Roman" w:hAnsi="Times New Roman"/>
          <w:b w:val="0"/>
          <w:i w:val="0"/>
          <w:sz w:val="20"/>
        </w:rPr>
        <w:t>• The Total PSD ranges from 12,080 (L02) to 25,146 (L07), yet this variation has no correlation with strength (r = −0.168). This is the paper's central finding.</w:t>
      </w:r>
    </w:p>
    <w:p>
      <w:pPr>
        <w:spacing w:after="120"/>
      </w:pPr>
      <w:r>
        <w:rPr>
          <w:rFonts w:ascii="Times New Roman" w:hAnsi="Times New Roman"/>
          <w:b w:val="0"/>
          <w:i w:val="0"/>
          <w:sz w:val="20"/>
        </w:rPr>
        <w:t>• The Amorphous Fraction ranges from 0.000 (L07) to 0.264 (L08), yet the highest strength (L03, 52.53 MPa) corresponds to the second-LOWEST amorphous fraction (0.071). Gel quality trumps quantity.</w:t>
      </w:r>
    </w:p>
    <w:p>
      <w:r>
        <w:br w:type="page"/>
      </w:r>
    </w:p>
    <w:p>
      <w:pPr>
        <w:pStyle w:val="Heading1"/>
      </w:pPr>
      <w:r>
        <w:rPr>
          <w:rFonts w:ascii="Times New Roman" w:hAnsi="Times New Roman"/>
          <w:color w:val="000050"/>
        </w:rPr>
        <w:t>4. Scatter Diagram Analysis</w:t>
      </w:r>
    </w:p>
    <w:p>
      <w:pPr>
        <w:spacing w:after="120"/>
      </w:pPr>
      <w:r>
        <w:rPr>
          <w:rFonts w:ascii="Times New Roman" w:hAnsi="Times New Roman"/>
          <w:b w:val="0"/>
          <w:i w:val="0"/>
          <w:sz w:val="20"/>
        </w:rPr>
        <w:t>The following scatter diagrams were generated from the PSD dataset. Each diagram is described with its correlation statistics and physical interpretation. The complete (x, y) data pairs and regression statistics are tabulated in Section 5.</w:t>
      </w:r>
    </w:p>
    <w:p>
      <w:pPr>
        <w:pStyle w:val="Heading2"/>
      </w:pPr>
      <w:r>
        <w:rPr>
          <w:rFonts w:ascii="Times New Roman" w:hAnsi="Times New Roman"/>
          <w:color w:val="000050"/>
        </w:rPr>
        <w:t>Figure 4.1: CS vs Amorphous PSD — Integrated Area Method</w:t>
      </w:r>
    </w:p>
    <w:p>
      <w:pPr>
        <w:jc w:val="center"/>
      </w:pPr>
      <w:r>
        <w:drawing>
          <wp:inline xmlns:a="http://schemas.openxmlformats.org/drawingml/2006/main" xmlns:pic="http://schemas.openxmlformats.org/drawingml/2006/picture">
            <wp:extent cx="5029200" cy="3618387"/>
            <wp:docPr id="1" name="Picture 1"/>
            <wp:cNvGraphicFramePr>
              <a:graphicFrameLocks noChangeAspect="1"/>
            </wp:cNvGraphicFramePr>
            <a:graphic>
              <a:graphicData uri="http://schemas.openxmlformats.org/drawingml/2006/picture">
                <pic:pic>
                  <pic:nvPicPr>
                    <pic:cNvPr id="0" name="fig3_cs_vs_amor_ia.png"/>
                    <pic:cNvPicPr/>
                  </pic:nvPicPr>
                  <pic:blipFill>
                    <a:blip r:embed="rId9"/>
                    <a:stretch>
                      <a:fillRect/>
                    </a:stretch>
                  </pic:blipFill>
                  <pic:spPr>
                    <a:xfrm>
                      <a:off x="0" y="0"/>
                      <a:ext cx="5029200" cy="3618387"/>
                    </a:xfrm>
                    <a:prstGeom prst="rect"/>
                  </pic:spPr>
                </pic:pic>
              </a:graphicData>
            </a:graphic>
          </wp:inline>
        </w:drawing>
      </w:r>
    </w:p>
    <w:p>
      <w:pPr>
        <w:spacing w:after="120"/>
      </w:pPr>
      <w:r>
        <w:rPr>
          <w:rFonts w:ascii="Times New Roman" w:hAnsi="Times New Roman"/>
          <w:b w:val="0"/>
          <w:i w:val="0"/>
          <w:sz w:val="20"/>
        </w:rPr>
        <w:t>This is the primary scatter diagram of the study. The 28-day compressive strength is plotted against the total amorphous PSD (NASH + CASH) measured by the Integrated Area method. The linear regression yields CS = 10.374 + 0.0140 × Amor(IA), with R² = 0.6566 and Pearson r = +0.8103 (p &lt; 0.01). The strong positive correlation confirms that the amorphous gel is the dominant strength-giving phase. The slope of 0.014 MPa per unit IA-PSD indicates the gel-to-strength conversion efficiency. The intercept of 10.37 MPa represents the residual strength from particle packing and crystalline interlocking when no gel is present. The most notable feature is L03: despite having only 1,485.3 IA of amorphous gel (44% of L04's 3,352.6), L03 achieves the highest strength (52.53 MPa). Its residual (+21.36 MPa above the regression line) is the largest in the dataset and is directly attributable to its optimal NASH/CASH gel chemistry (ratio = 15.59), which the simple linear model based on total amorphous PSD cannot capture.</w:t>
      </w:r>
    </w:p>
    <w:p/>
    <w:p>
      <w:r>
        <w:br w:type="page"/>
      </w:r>
    </w:p>
    <w:p>
      <w:pPr>
        <w:pStyle w:val="Heading2"/>
      </w:pPr>
      <w:r>
        <w:rPr>
          <w:rFonts w:ascii="Times New Roman" w:hAnsi="Times New Roman"/>
          <w:color w:val="000050"/>
        </w:rPr>
        <w:t>Figure 4.2: CS vs Amorphous PSD — Peak Intensity Method</w:t>
      </w:r>
    </w:p>
    <w:p>
      <w:pPr>
        <w:jc w:val="center"/>
      </w:pPr>
      <w:r>
        <w:drawing>
          <wp:inline xmlns:a="http://schemas.openxmlformats.org/drawingml/2006/main" xmlns:pic="http://schemas.openxmlformats.org/drawingml/2006/picture">
            <wp:extent cx="5029200" cy="3616503"/>
            <wp:docPr id="2" name="Picture 2"/>
            <wp:cNvGraphicFramePr>
              <a:graphicFrameLocks noChangeAspect="1"/>
            </wp:cNvGraphicFramePr>
            <a:graphic>
              <a:graphicData uri="http://schemas.openxmlformats.org/drawingml/2006/picture">
                <pic:pic>
                  <pic:nvPicPr>
                    <pic:cNvPr id="0" name="fig4_cs_vs_amor_pi.png"/>
                    <pic:cNvPicPr/>
                  </pic:nvPicPr>
                  <pic:blipFill>
                    <a:blip r:embed="rId10"/>
                    <a:stretch>
                      <a:fillRect/>
                    </a:stretch>
                  </pic:blipFill>
                  <pic:spPr>
                    <a:xfrm>
                      <a:off x="0" y="0"/>
                      <a:ext cx="5029200" cy="3616503"/>
                    </a:xfrm>
                    <a:prstGeom prst="rect"/>
                  </pic:spPr>
                </pic:pic>
              </a:graphicData>
            </a:graphic>
          </wp:inline>
        </w:drawing>
      </w:r>
    </w:p>
    <w:p>
      <w:pPr>
        <w:spacing w:after="120"/>
      </w:pPr>
      <w:r>
        <w:rPr>
          <w:rFonts w:ascii="Times New Roman" w:hAnsi="Times New Roman"/>
          <w:b w:val="0"/>
          <w:i w:val="0"/>
          <w:sz w:val="20"/>
        </w:rPr>
        <w:t>The Peak Intensity method yields an essentially identical correlation: CS = 10.386 + 0.0953 × Amor(PI), with R² = 0.6561 and r = +0.8100 (p &lt; 0.01). The convergence of the IA and PI methods to within |Δr| = 0.0003 is a powerful independent validation: two fundamentally different measurement approaches — one based on peak area (sensitive to total scattering volume) and one based on peak height (sensitive to crystallinity and preferred orientation) — produce the identical structure-property relationship. This convergence would not occur if the PSD methodology were arbitrary.</w:t>
      </w:r>
    </w:p>
    <w:p/>
    <w:p>
      <w:r>
        <w:br w:type="page"/>
      </w:r>
    </w:p>
    <w:p>
      <w:pPr>
        <w:pStyle w:val="Heading2"/>
      </w:pPr>
      <w:r>
        <w:rPr>
          <w:rFonts w:ascii="Times New Roman" w:hAnsi="Times New Roman"/>
          <w:color w:val="000050"/>
        </w:rPr>
        <w:t>Figure 4.3: CS vs Crystalline PSD — Integrated Area Method</w:t>
      </w:r>
    </w:p>
    <w:p>
      <w:pPr>
        <w:jc w:val="center"/>
      </w:pPr>
      <w:r>
        <w:drawing>
          <wp:inline xmlns:a="http://schemas.openxmlformats.org/drawingml/2006/main" xmlns:pic="http://schemas.openxmlformats.org/drawingml/2006/picture">
            <wp:extent cx="5029200" cy="3810601"/>
            <wp:docPr id="3" name="Picture 3"/>
            <wp:cNvGraphicFramePr>
              <a:graphicFrameLocks noChangeAspect="1"/>
            </wp:cNvGraphicFramePr>
            <a:graphic>
              <a:graphicData uri="http://schemas.openxmlformats.org/drawingml/2006/picture">
                <pic:pic>
                  <pic:nvPicPr>
                    <pic:cNvPr id="0" name="fig5_cs_vs_cryst_ia.png"/>
                    <pic:cNvPicPr/>
                  </pic:nvPicPr>
                  <pic:blipFill>
                    <a:blip r:embed="rId11"/>
                    <a:stretch>
                      <a:fillRect/>
                    </a:stretch>
                  </pic:blipFill>
                  <pic:spPr>
                    <a:xfrm>
                      <a:off x="0" y="0"/>
                      <a:ext cx="5029200" cy="3810601"/>
                    </a:xfrm>
                    <a:prstGeom prst="rect"/>
                  </pic:spPr>
                </pic:pic>
              </a:graphicData>
            </a:graphic>
          </wp:inline>
        </w:drawing>
      </w:r>
    </w:p>
    <w:p>
      <w:pPr>
        <w:spacing w:after="120"/>
      </w:pPr>
      <w:r>
        <w:rPr>
          <w:rFonts w:ascii="Times New Roman" w:hAnsi="Times New Roman"/>
          <w:b w:val="0"/>
          <w:i w:val="0"/>
          <w:sz w:val="20"/>
        </w:rPr>
        <w:t>The crystalline PSD (Quartz + Mullite + Calcite) exhibits a moderate negative correlation with compressive strength (r = −0.318, R² = 0.101, not significant). The scatter is wide because crystalline phases play a dual role: they dilute the binding gel matrix (negative effect) but also provide particle packing, crack deflection, and dimensional stability (positive effect). The net negative correlation indicates that, across these nine mixes, the dilution effect dominates. L07 (crystalline IA = 25,146, CS = 22.41 MPa) anchors the high-crystalline/low-strength extreme. The colour gradient (amorphous fraction) reveals that mixes with higher amorphous fractions (green) tend toward higher strengths.</w:t>
      </w:r>
    </w:p>
    <w:p/>
    <w:p>
      <w:r>
        <w:br w:type="page"/>
      </w:r>
    </w:p>
    <w:p>
      <w:pPr>
        <w:pStyle w:val="Heading2"/>
      </w:pPr>
      <w:r>
        <w:rPr>
          <w:rFonts w:ascii="Times New Roman" w:hAnsi="Times New Roman"/>
          <w:color w:val="000050"/>
        </w:rPr>
        <w:t>Figure 4.4: Total PSD vs CS — Proof That Deconvolution Is Essential</w:t>
      </w:r>
    </w:p>
    <w:p>
      <w:pPr>
        <w:jc w:val="center"/>
      </w:pPr>
      <w:r>
        <w:drawing>
          <wp:inline xmlns:a="http://schemas.openxmlformats.org/drawingml/2006/main" xmlns:pic="http://schemas.openxmlformats.org/drawingml/2006/picture">
            <wp:extent cx="5029200" cy="2220261"/>
            <wp:docPr id="4" name="Picture 4"/>
            <wp:cNvGraphicFramePr>
              <a:graphicFrameLocks noChangeAspect="1"/>
            </wp:cNvGraphicFramePr>
            <a:graphic>
              <a:graphicData uri="http://schemas.openxmlformats.org/drawingml/2006/picture">
                <pic:pic>
                  <pic:nvPicPr>
                    <pic:cNvPr id="0" name="fig7_total_psd_vs_cs.png"/>
                    <pic:cNvPicPr/>
                  </pic:nvPicPr>
                  <pic:blipFill>
                    <a:blip r:embed="rId12"/>
                    <a:stretch>
                      <a:fillRect/>
                    </a:stretch>
                  </pic:blipFill>
                  <pic:spPr>
                    <a:xfrm>
                      <a:off x="0" y="0"/>
                      <a:ext cx="5029200" cy="2220261"/>
                    </a:xfrm>
                    <a:prstGeom prst="rect"/>
                  </pic:spPr>
                </pic:pic>
              </a:graphicData>
            </a:graphic>
          </wp:inline>
        </w:drawing>
      </w:r>
    </w:p>
    <w:p>
      <w:pPr>
        <w:spacing w:after="120"/>
      </w:pPr>
      <w:r>
        <w:rPr>
          <w:rFonts w:ascii="Times New Roman" w:hAnsi="Times New Roman"/>
          <w:b w:val="0"/>
          <w:i w:val="0"/>
          <w:sz w:val="20"/>
        </w:rPr>
        <w:t>This is the most important negative result in the study. The total PSD — the simple sum of crystalline and amorphous contributions — exhibits NO meaningful correlation with compressive strength. For the IA method: r = −0.168, R² = 0.028. For the PI method: r = +0.008, R² ≈ 0.000. The data points are scattered without pattern: L07 (highest total PSD = 25,146 IA) has the lowest strength, L03 (second-highest total = 20,870 IA) has the highest strength, and L08 (lowest total = 12,144 IA) has moderate strength. This absence of correlation is NOT a failure of the experiment — it is a mathematical consequence of the anti-correlation between crystalline and amorphous PSD components (r = −0.770). The two signals pull in opposite directions and cancel when summed. Without the phase-deconvolution step, XRD-derived scattering intensity would appear to have no relationship with strength whatsoever. The PSD methodology reveals the hidden r = +0.81 correlation.</w:t>
      </w:r>
    </w:p>
    <w:p/>
    <w:p>
      <w:r>
        <w:br w:type="page"/>
      </w:r>
    </w:p>
    <w:p>
      <w:pPr>
        <w:pStyle w:val="Heading2"/>
      </w:pPr>
      <w:r>
        <w:rPr>
          <w:rFonts w:ascii="Times New Roman" w:hAnsi="Times New Roman"/>
          <w:color w:val="000050"/>
        </w:rPr>
        <w:t>Figure 4.5: IA vs PI Method Comparison — Side-by-Side</w:t>
      </w:r>
    </w:p>
    <w:p>
      <w:pPr>
        <w:jc w:val="center"/>
      </w:pPr>
      <w:r>
        <w:drawing>
          <wp:inline xmlns:a="http://schemas.openxmlformats.org/drawingml/2006/main" xmlns:pic="http://schemas.openxmlformats.org/drawingml/2006/picture">
            <wp:extent cx="5029200" cy="2210677"/>
            <wp:docPr id="5" name="Picture 5"/>
            <wp:cNvGraphicFramePr>
              <a:graphicFrameLocks noChangeAspect="1"/>
            </wp:cNvGraphicFramePr>
            <a:graphic>
              <a:graphicData uri="http://schemas.openxmlformats.org/drawingml/2006/picture">
                <pic:pic>
                  <pic:nvPicPr>
                    <pic:cNvPr id="0" name="fig6_ia_vs_pi_comparison.png"/>
                    <pic:cNvPicPr/>
                  </pic:nvPicPr>
                  <pic:blipFill>
                    <a:blip r:embed="rId13"/>
                    <a:stretch>
                      <a:fillRect/>
                    </a:stretch>
                  </pic:blipFill>
                  <pic:spPr>
                    <a:xfrm>
                      <a:off x="0" y="0"/>
                      <a:ext cx="5029200" cy="2210677"/>
                    </a:xfrm>
                    <a:prstGeom prst="rect"/>
                  </pic:spPr>
                </pic:pic>
              </a:graphicData>
            </a:graphic>
          </wp:inline>
        </w:drawing>
      </w:r>
    </w:p>
    <w:p>
      <w:pPr>
        <w:spacing w:after="120"/>
      </w:pPr>
      <w:r>
        <w:rPr>
          <w:rFonts w:ascii="Times New Roman" w:hAnsi="Times New Roman"/>
          <w:b w:val="0"/>
          <w:i w:val="0"/>
          <w:sz w:val="20"/>
        </w:rPr>
        <w:t>The left panel (IA method) and right panel (PI method) demonstrate the near-identical predictive power of the two PSD quantification approaches. Both methods converge to r ≈ +0.81, with R² ≈ 0.656. This cross-validation is strong evidence that the methodology is measuring a real physical quantity — the amorphous gel content — rather than an artifact of the measurement technique. The IA method is recommended as the primary approach because it is less sensitive to crystallite size, microstrain, and preferred orientation effects, but the PI method is perfectly adequate for rapid comparative screening.</w:t>
      </w:r>
    </w:p>
    <w:p/>
    <w:p>
      <w:r>
        <w:br w:type="page"/>
      </w:r>
    </w:p>
    <w:p>
      <w:pPr>
        <w:pStyle w:val="Heading2"/>
      </w:pPr>
      <w:r>
        <w:rPr>
          <w:rFonts w:ascii="Times New Roman" w:hAnsi="Times New Roman"/>
          <w:color w:val="000050"/>
        </w:rPr>
        <w:t>Figure 4.6: Amorphous Fraction vs Compressive Strength</w:t>
      </w:r>
    </w:p>
    <w:p>
      <w:pPr>
        <w:jc w:val="center"/>
      </w:pPr>
      <w:r>
        <w:drawing>
          <wp:inline xmlns:a="http://schemas.openxmlformats.org/drawingml/2006/main" xmlns:pic="http://schemas.openxmlformats.org/drawingml/2006/picture">
            <wp:extent cx="5029200" cy="3559250"/>
            <wp:docPr id="6" name="Picture 6"/>
            <wp:cNvGraphicFramePr>
              <a:graphicFrameLocks noChangeAspect="1"/>
            </wp:cNvGraphicFramePr>
            <a:graphic>
              <a:graphicData uri="http://schemas.openxmlformats.org/drawingml/2006/picture">
                <pic:pic>
                  <pic:nvPicPr>
                    <pic:cNvPr id="0" name="fig10_amor_frac_vs_cs.png"/>
                    <pic:cNvPicPr/>
                  </pic:nvPicPr>
                  <pic:blipFill>
                    <a:blip r:embed="rId14"/>
                    <a:stretch>
                      <a:fillRect/>
                    </a:stretch>
                  </pic:blipFill>
                  <pic:spPr>
                    <a:xfrm>
                      <a:off x="0" y="0"/>
                      <a:ext cx="5029200" cy="3559250"/>
                    </a:xfrm>
                    <a:prstGeom prst="rect"/>
                  </pic:spPr>
                </pic:pic>
              </a:graphicData>
            </a:graphic>
          </wp:inline>
        </w:drawing>
      </w:r>
    </w:p>
    <w:p>
      <w:pPr>
        <w:spacing w:after="120"/>
      </w:pPr>
      <w:r>
        <w:rPr>
          <w:rFonts w:ascii="Times New Roman" w:hAnsi="Times New Roman"/>
          <w:b w:val="0"/>
          <w:i w:val="0"/>
          <w:sz w:val="20"/>
        </w:rPr>
        <w:t>This scatter diagram reveals the counterintuitive finding that the amorphous fraction does NOT correlate positively with strength. L03 (amorphous fraction = 0.071, CS = 52.53 MPa) has the lowest amorphous fraction among reacting mixes but the highest strength. Conversely, L08 (amorphous fraction = 0.264, the highest) achieves only 47.95 MPa. The NASH/CASH ratio (colour gradient) provides the explanation: mixes with ratios in the optimal range of approximately 11-35 achieve high strengths regardless of their amorphous fraction, while mixes outside this range underperform. Gel quality — specifically, the balanced coexistence of NASH and CASH — is a more powerful determinant of strength than gel quantity alone.</w:t>
      </w:r>
    </w:p>
    <w:p/>
    <w:p>
      <w:r>
        <w:br w:type="page"/>
      </w:r>
    </w:p>
    <w:p>
      <w:pPr>
        <w:pStyle w:val="Heading2"/>
      </w:pPr>
      <w:r>
        <w:rPr>
          <w:rFonts w:ascii="Times New Roman" w:hAnsi="Times New Roman"/>
          <w:color w:val="000050"/>
        </w:rPr>
        <w:t>Figure 4.7: NASH vs CASH Gel Formation — Bubble Chart</w:t>
      </w:r>
    </w:p>
    <w:p>
      <w:pPr>
        <w:jc w:val="center"/>
      </w:pPr>
      <w:r>
        <w:drawing>
          <wp:inline xmlns:a="http://schemas.openxmlformats.org/drawingml/2006/main" xmlns:pic="http://schemas.openxmlformats.org/drawingml/2006/picture">
            <wp:extent cx="5029200" cy="4132769"/>
            <wp:docPr id="7" name="Picture 7"/>
            <wp:cNvGraphicFramePr>
              <a:graphicFrameLocks noChangeAspect="1"/>
            </wp:cNvGraphicFramePr>
            <a:graphic>
              <a:graphicData uri="http://schemas.openxmlformats.org/drawingml/2006/picture">
                <pic:pic>
                  <pic:nvPicPr>
                    <pic:cNvPr id="0" name="fig9_nash_vs_cash_bubble.png"/>
                    <pic:cNvPicPr/>
                  </pic:nvPicPr>
                  <pic:blipFill>
                    <a:blip r:embed="rId15"/>
                    <a:stretch>
                      <a:fillRect/>
                    </a:stretch>
                  </pic:blipFill>
                  <pic:spPr>
                    <a:xfrm>
                      <a:off x="0" y="0"/>
                      <a:ext cx="5029200" cy="4132769"/>
                    </a:xfrm>
                    <a:prstGeom prst="rect"/>
                  </pic:spPr>
                </pic:pic>
              </a:graphicData>
            </a:graphic>
          </wp:inline>
        </w:drawing>
      </w:r>
    </w:p>
    <w:p>
      <w:pPr>
        <w:spacing w:after="120"/>
      </w:pPr>
      <w:r>
        <w:rPr>
          <w:rFonts w:ascii="Times New Roman" w:hAnsi="Times New Roman"/>
          <w:b w:val="0"/>
          <w:i w:val="0"/>
          <w:sz w:val="20"/>
        </w:rPr>
        <w:t>Each mix is positioned by its NASH PSD (x-axis) and CASH PSD (y-axis). Bubble size is proportional to compressive strength. Fly ash content is indicated by colour (red = 80%, blue = 60%). The diagonal reference lines help identify the NASH/CASH ratio. L04 anchors the upper-right quadrant with the highest NASH PSD (3,228 IA). L03, despite its moderate NASH (1,396 IA) and low CASH (90 IA), achieves the largest bubble (highest strength) through its optimal NASH/CASH ratio of 15.59. L07 sits at the origin — zero gel of either type. The distribution confirms that strength does not scale simply with either gel type alone; the ratio between them is critical.</w:t>
      </w:r>
    </w:p>
    <w:p/>
    <w:p>
      <w:r>
        <w:br w:type="page"/>
      </w:r>
    </w:p>
    <w:p>
      <w:pPr>
        <w:pStyle w:val="Heading2"/>
      </w:pPr>
      <w:r>
        <w:rPr>
          <w:rFonts w:ascii="Times New Roman" w:hAnsi="Times New Roman"/>
          <w:color w:val="000050"/>
        </w:rPr>
        <w:t>Figure 4.8: Correlation Bar Chart — All PSD Components</w:t>
      </w:r>
    </w:p>
    <w:p>
      <w:pPr>
        <w:jc w:val="center"/>
      </w:pPr>
      <w:r>
        <w:drawing>
          <wp:inline xmlns:a="http://schemas.openxmlformats.org/drawingml/2006/main" xmlns:pic="http://schemas.openxmlformats.org/drawingml/2006/picture">
            <wp:extent cx="5029200" cy="3333964"/>
            <wp:docPr id="8" name="Picture 8"/>
            <wp:cNvGraphicFramePr>
              <a:graphicFrameLocks noChangeAspect="1"/>
            </wp:cNvGraphicFramePr>
            <a:graphic>
              <a:graphicData uri="http://schemas.openxmlformats.org/drawingml/2006/picture">
                <pic:pic>
                  <pic:nvPicPr>
                    <pic:cNvPr id="0" name="fig8_correlation_bars.png"/>
                    <pic:cNvPicPr/>
                  </pic:nvPicPr>
                  <pic:blipFill>
                    <a:blip r:embed="rId16"/>
                    <a:stretch>
                      <a:fillRect/>
                    </a:stretch>
                  </pic:blipFill>
                  <pic:spPr>
                    <a:xfrm>
                      <a:off x="0" y="0"/>
                      <a:ext cx="5029200" cy="3333964"/>
                    </a:xfrm>
                    <a:prstGeom prst="rect"/>
                  </pic:spPr>
                </pic:pic>
              </a:graphicData>
            </a:graphic>
          </wp:inline>
        </w:drawing>
      </w:r>
    </w:p>
    <w:p>
      <w:pPr>
        <w:spacing w:after="120"/>
      </w:pPr>
      <w:r>
        <w:rPr>
          <w:rFonts w:ascii="Times New Roman" w:hAnsi="Times New Roman"/>
          <w:b w:val="0"/>
          <w:i w:val="0"/>
          <w:sz w:val="20"/>
        </w:rPr>
        <w:t>This figure provides a visual summary of the predictive power of each PSD component. The amorphous PSD (r = +0.810) and NASH PSD (r = +0.804) stand out as the strongest positive predictors. CASH PSD (r = +0.648) is also positive but weaker. The Amorphous Fraction (r = +0.464) is weakly positive, confirming that fraction alone is insufficient. The Total PSD (r = −0.168) and Crystalline PSD (r = −0.318) are negative or near-zero. This chart makes the case for deconvolution at a glance: only the separated gel components predict strength.</w:t>
      </w:r>
    </w:p>
    <w:p/>
    <w:p>
      <w:r>
        <w:br w:type="page"/>
      </w:r>
    </w:p>
    <w:p>
      <w:pPr>
        <w:pStyle w:val="Heading2"/>
      </w:pPr>
      <w:r>
        <w:rPr>
          <w:rFonts w:ascii="Times New Roman" w:hAnsi="Times New Roman"/>
          <w:color w:val="000050"/>
        </w:rPr>
        <w:t>Figure 4.9: Peak Intensity PSD — Phase-wise Stacked Bars</w:t>
      </w:r>
    </w:p>
    <w:p>
      <w:pPr>
        <w:jc w:val="center"/>
      </w:pPr>
      <w:r>
        <w:drawing>
          <wp:inline xmlns:a="http://schemas.openxmlformats.org/drawingml/2006/main" xmlns:pic="http://schemas.openxmlformats.org/drawingml/2006/picture">
            <wp:extent cx="5029200" cy="2493469"/>
            <wp:docPr id="9" name="Picture 9"/>
            <wp:cNvGraphicFramePr>
              <a:graphicFrameLocks noChangeAspect="1"/>
            </wp:cNvGraphicFramePr>
            <a:graphic>
              <a:graphicData uri="http://schemas.openxmlformats.org/drawingml/2006/picture">
                <pic:pic>
                  <pic:nvPicPr>
                    <pic:cNvPr id="0" name="fig1_peak_intensity_psd_stacked.png"/>
                    <pic:cNvPicPr/>
                  </pic:nvPicPr>
                  <pic:blipFill>
                    <a:blip r:embed="rId17"/>
                    <a:stretch>
                      <a:fillRect/>
                    </a:stretch>
                  </pic:blipFill>
                  <pic:spPr>
                    <a:xfrm>
                      <a:off x="0" y="0"/>
                      <a:ext cx="5029200" cy="2493469"/>
                    </a:xfrm>
                    <a:prstGeom prst="rect"/>
                  </pic:spPr>
                </pic:pic>
              </a:graphicData>
            </a:graphic>
          </wp:inline>
        </w:drawing>
      </w:r>
    </w:p>
    <w:p>
      <w:pPr>
        <w:spacing w:after="120"/>
      </w:pPr>
      <w:r>
        <w:rPr>
          <w:rFonts w:ascii="Times New Roman" w:hAnsi="Times New Roman"/>
          <w:b w:val="0"/>
          <w:i w:val="0"/>
          <w:sz w:val="20"/>
        </w:rPr>
        <w:t>A visual comparison of the five-phase PSD decomposition (Quartz, Mullite, Calcite, NASH, CASH) across all nine mixes using the Peak Intensity method. L07 dominates in crystalline phases (especially quartz), while L04 and L05 show the largest NASH contributions. The amorphous gel contributions (NASH + CASH, in purple and blue at the top of each bar) are visually prominent for L04, L05, and L08.</w:t>
      </w:r>
    </w:p>
    <w:p/>
    <w:p>
      <w:r>
        <w:br w:type="page"/>
      </w:r>
    </w:p>
    <w:p>
      <w:pPr>
        <w:pStyle w:val="Heading2"/>
      </w:pPr>
      <w:r>
        <w:rPr>
          <w:rFonts w:ascii="Times New Roman" w:hAnsi="Times New Roman"/>
          <w:color w:val="000050"/>
        </w:rPr>
        <w:t>Figure 4.10: Integrated Area PSD — Phase-wise Stacked Bars</w:t>
      </w:r>
    </w:p>
    <w:p>
      <w:pPr>
        <w:jc w:val="center"/>
      </w:pPr>
      <w:r>
        <w:drawing>
          <wp:inline xmlns:a="http://schemas.openxmlformats.org/drawingml/2006/main" xmlns:pic="http://schemas.openxmlformats.org/drawingml/2006/picture">
            <wp:extent cx="5029200" cy="2493469"/>
            <wp:docPr id="10" name="Picture 10"/>
            <wp:cNvGraphicFramePr>
              <a:graphicFrameLocks noChangeAspect="1"/>
            </wp:cNvGraphicFramePr>
            <a:graphic>
              <a:graphicData uri="http://schemas.openxmlformats.org/drawingml/2006/picture">
                <pic:pic>
                  <pic:nvPicPr>
                    <pic:cNvPr id="0" name="fig2_integrated_area_psd_stacked.png"/>
                    <pic:cNvPicPr/>
                  </pic:nvPicPr>
                  <pic:blipFill>
                    <a:blip r:embed="rId18"/>
                    <a:stretch>
                      <a:fillRect/>
                    </a:stretch>
                  </pic:blipFill>
                  <pic:spPr>
                    <a:xfrm>
                      <a:off x="0" y="0"/>
                      <a:ext cx="5029200" cy="2493469"/>
                    </a:xfrm>
                    <a:prstGeom prst="rect"/>
                  </pic:spPr>
                </pic:pic>
              </a:graphicData>
            </a:graphic>
          </wp:inline>
        </w:drawing>
      </w:r>
    </w:p>
    <w:p>
      <w:pPr>
        <w:spacing w:after="120"/>
      </w:pPr>
      <w:r>
        <w:rPr>
          <w:rFonts w:ascii="Times New Roman" w:hAnsi="Times New Roman"/>
          <w:b w:val="0"/>
          <w:i w:val="0"/>
          <w:sz w:val="20"/>
        </w:rPr>
        <w:t>The Integrated Area counterpart of Figure 4.9. The Mullite bars are proportionally larger than in the PI plot due to Mullite's high IA/PI ratio (~20), reflecting the broad peaks from nanoscale mullite crystallites. L07's crystalline dominance is even more apparent in the IA plot, while the NASH contributions for L04 and L05 are clearly visible as the dominant amorphous phases.</w:t>
      </w:r>
    </w:p>
    <w:p/>
    <w:p>
      <w:r>
        <w:br w:type="page"/>
      </w:r>
    </w:p>
    <w:p>
      <w:pPr>
        <w:pStyle w:val="Heading1"/>
      </w:pPr>
      <w:r>
        <w:rPr>
          <w:rFonts w:ascii="Times New Roman" w:hAnsi="Times New Roman"/>
          <w:color w:val="000050"/>
        </w:rPr>
        <w:t>5. Scatter Plot Data Tables (R-squared Analysis)</w:t>
      </w:r>
    </w:p>
    <w:p>
      <w:pPr>
        <w:spacing w:after="120"/>
      </w:pPr>
      <w:r>
        <w:rPr>
          <w:rFonts w:ascii="Times New Roman" w:hAnsi="Times New Roman"/>
          <w:b w:val="0"/>
          <w:i w:val="0"/>
          <w:sz w:val="20"/>
        </w:rPr>
        <w:t>Tables 5.1-5.6 provide the complete (x, y) data pairs, linear regression statistics, predicted values, and residuals for all scatter diagrams. These tables enable independent reproduction of all correlation analyses and scatter plots.</w:t>
      </w:r>
    </w:p>
    <w:p>
      <w:pPr>
        <w:spacing w:after="120"/>
      </w:pPr>
      <w:r>
        <w:rPr>
          <w:rFonts w:ascii="Times New Roman" w:hAnsi="Times New Roman"/>
          <w:b/>
          <w:i w:val="0"/>
          <w:sz w:val="22"/>
        </w:rPr>
        <w:t>Table 5.1: CS vs Amorphous PSD — Integrated Area</w:t>
      </w:r>
    </w:p>
    <w:p>
      <w:pPr>
        <w:spacing w:after="120"/>
      </w:pPr>
      <w:r>
        <w:rPr>
          <w:rFonts w:ascii="Times New Roman" w:hAnsi="Times New Roman"/>
          <w:b w:val="0"/>
          <w:i/>
          <w:sz w:val="18"/>
        </w:rPr>
        <w:t>Regression: CS = 20.098 + 0.009330 × Amor(IA); R² = 0.6566; r = +0.8103; p &lt; 0.01</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50"/>
            <w:shd w:fill="003366"/>
          </w:tcPr>
          <w:p>
            <w:pPr>
              <w:spacing w:before="20" w:after="20"/>
              <w:jc w:val="center"/>
            </w:pPr>
            <w:r/>
            <w:r>
              <w:rPr>
                <w:rFonts w:ascii="Times New Roman" w:hAnsi="Times New Roman"/>
                <w:b/>
                <w:color w:val="FFFFFF"/>
                <w:sz w:val="18"/>
              </w:rPr>
              <w:t>Mix</w:t>
            </w:r>
          </w:p>
        </w:tc>
        <w:tc>
          <w:tcPr>
            <w:tcW w:type="dxa" w:w="1587"/>
            <w:shd w:fill="003366"/>
          </w:tcPr>
          <w:p>
            <w:pPr>
              <w:spacing w:before="20" w:after="20"/>
              <w:jc w:val="center"/>
            </w:pPr>
            <w:r/>
            <w:r>
              <w:rPr>
                <w:rFonts w:ascii="Times New Roman" w:hAnsi="Times New Roman"/>
                <w:b/>
                <w:color w:val="FFFFFF"/>
                <w:sz w:val="18"/>
              </w:rPr>
              <w:t>x = Amor(IA)</w:t>
            </w:r>
          </w:p>
        </w:tc>
        <w:tc>
          <w:tcPr>
            <w:tcW w:type="dxa" w:w="1417"/>
            <w:shd w:fill="003366"/>
          </w:tcPr>
          <w:p>
            <w:pPr>
              <w:spacing w:before="20" w:after="20"/>
              <w:jc w:val="center"/>
            </w:pPr>
            <w:r/>
            <w:r>
              <w:rPr>
                <w:rFonts w:ascii="Times New Roman" w:hAnsi="Times New Roman"/>
                <w:b/>
                <w:color w:val="FFFFFF"/>
                <w:sz w:val="18"/>
              </w:rPr>
              <w:t>y = CS (MPa)</w:t>
            </w:r>
          </w:p>
        </w:tc>
        <w:tc>
          <w:tcPr>
            <w:tcW w:type="dxa" w:w="1417"/>
            <w:shd w:fill="003366"/>
          </w:tcPr>
          <w:p>
            <w:pPr>
              <w:spacing w:before="20" w:after="20"/>
              <w:jc w:val="center"/>
            </w:pPr>
            <w:r/>
            <w:r>
              <w:rPr>
                <w:rFonts w:ascii="Times New Roman" w:hAnsi="Times New Roman"/>
                <w:b/>
                <w:color w:val="FFFFFF"/>
                <w:sz w:val="18"/>
              </w:rPr>
              <w:t>CS_predicted</w:t>
            </w:r>
          </w:p>
        </w:tc>
        <w:tc>
          <w:tcPr>
            <w:tcW w:type="dxa" w:w="1134"/>
            <w:shd w:fill="003366"/>
          </w:tcPr>
          <w:p>
            <w:pPr>
              <w:spacing w:before="20" w:after="20"/>
              <w:jc w:val="center"/>
            </w:pPr>
            <w:r/>
            <w:r>
              <w:rPr>
                <w:rFonts w:ascii="Times New Roman" w:hAnsi="Times New Roman"/>
                <w:b/>
                <w:color w:val="FFFFFF"/>
                <w:sz w:val="18"/>
              </w:rPr>
              <w:t>Residual</w:t>
            </w:r>
          </w:p>
        </w:tc>
      </w:tr>
      <w:tr>
        <w:tc>
          <w:tcPr>
            <w:tcW w:type="dxa" w:w="850"/>
          </w:tcPr>
          <w:p>
            <w:pPr>
              <w:spacing w:before="20" w:after="20"/>
              <w:jc w:val="center"/>
            </w:pPr>
            <w:r/>
            <w:r>
              <w:rPr>
                <w:rFonts w:ascii="Times New Roman" w:hAnsi="Times New Roman"/>
                <w:b w:val="0"/>
                <w:sz w:val="18"/>
              </w:rPr>
              <w:t>L01</w:t>
            </w:r>
          </w:p>
        </w:tc>
        <w:tc>
          <w:tcPr>
            <w:tcW w:type="dxa" w:w="1587"/>
          </w:tcPr>
          <w:p>
            <w:pPr>
              <w:spacing w:before="20" w:after="20"/>
              <w:jc w:val="center"/>
            </w:pPr>
            <w:r/>
            <w:r>
              <w:rPr>
                <w:rFonts w:ascii="Times New Roman" w:hAnsi="Times New Roman"/>
                <w:b w:val="0"/>
                <w:sz w:val="18"/>
              </w:rPr>
              <w:t>682.5</w:t>
            </w:r>
          </w:p>
        </w:tc>
        <w:tc>
          <w:tcPr>
            <w:tcW w:type="dxa" w:w="1417"/>
          </w:tcPr>
          <w:p>
            <w:pPr>
              <w:spacing w:before="20" w:after="20"/>
              <w:jc w:val="center"/>
            </w:pPr>
            <w:r/>
            <w:r>
              <w:rPr>
                <w:rFonts w:ascii="Times New Roman" w:hAnsi="Times New Roman"/>
                <w:b w:val="0"/>
                <w:sz w:val="18"/>
              </w:rPr>
              <w:t>15.34</w:t>
            </w:r>
          </w:p>
        </w:tc>
        <w:tc>
          <w:tcPr>
            <w:tcW w:type="dxa" w:w="1417"/>
          </w:tcPr>
          <w:p>
            <w:pPr>
              <w:spacing w:before="20" w:after="20"/>
              <w:jc w:val="center"/>
            </w:pPr>
            <w:r/>
            <w:r>
              <w:rPr>
                <w:rFonts w:ascii="Times New Roman" w:hAnsi="Times New Roman"/>
                <w:b w:val="0"/>
                <w:sz w:val="18"/>
              </w:rPr>
              <w:t>26.47</w:t>
            </w:r>
          </w:p>
        </w:tc>
        <w:tc>
          <w:tcPr>
            <w:tcW w:type="dxa" w:w="1134"/>
          </w:tcPr>
          <w:p>
            <w:pPr>
              <w:spacing w:before="20" w:after="20"/>
              <w:jc w:val="center"/>
            </w:pPr>
            <w:r/>
            <w:r>
              <w:rPr>
                <w:rFonts w:ascii="Times New Roman" w:hAnsi="Times New Roman"/>
                <w:b w:val="0"/>
                <w:sz w:val="18"/>
              </w:rPr>
              <w:t>-11.13</w:t>
            </w:r>
          </w:p>
        </w:tc>
      </w:tr>
      <w:tr>
        <w:tc>
          <w:tcPr>
            <w:tcW w:type="dxa" w:w="850"/>
          </w:tcPr>
          <w:p>
            <w:pPr>
              <w:spacing w:before="20" w:after="20"/>
              <w:jc w:val="center"/>
            </w:pPr>
            <w:r/>
            <w:r>
              <w:rPr>
                <w:rFonts w:ascii="Times New Roman" w:hAnsi="Times New Roman"/>
                <w:b w:val="0"/>
                <w:sz w:val="18"/>
              </w:rPr>
              <w:t>L02</w:t>
            </w:r>
          </w:p>
        </w:tc>
        <w:tc>
          <w:tcPr>
            <w:tcW w:type="dxa" w:w="1587"/>
          </w:tcPr>
          <w:p>
            <w:pPr>
              <w:spacing w:before="20" w:after="20"/>
              <w:jc w:val="center"/>
            </w:pPr>
            <w:r/>
            <w:r>
              <w:rPr>
                <w:rFonts w:ascii="Times New Roman" w:hAnsi="Times New Roman"/>
                <w:b w:val="0"/>
                <w:sz w:val="18"/>
              </w:rPr>
              <w:t>1684.8</w:t>
            </w:r>
          </w:p>
        </w:tc>
        <w:tc>
          <w:tcPr>
            <w:tcW w:type="dxa" w:w="1417"/>
          </w:tcPr>
          <w:p>
            <w:pPr>
              <w:spacing w:before="20" w:after="20"/>
              <w:jc w:val="center"/>
            </w:pPr>
            <w:r/>
            <w:r>
              <w:rPr>
                <w:rFonts w:ascii="Times New Roman" w:hAnsi="Times New Roman"/>
                <w:b w:val="0"/>
                <w:sz w:val="18"/>
              </w:rPr>
              <w:t>29.98</w:t>
            </w:r>
          </w:p>
        </w:tc>
        <w:tc>
          <w:tcPr>
            <w:tcW w:type="dxa" w:w="1417"/>
          </w:tcPr>
          <w:p>
            <w:pPr>
              <w:spacing w:before="20" w:after="20"/>
              <w:jc w:val="center"/>
            </w:pPr>
            <w:r/>
            <w:r>
              <w:rPr>
                <w:rFonts w:ascii="Times New Roman" w:hAnsi="Times New Roman"/>
                <w:b w:val="0"/>
                <w:sz w:val="18"/>
              </w:rPr>
              <w:t>35.82</w:t>
            </w:r>
          </w:p>
        </w:tc>
        <w:tc>
          <w:tcPr>
            <w:tcW w:type="dxa" w:w="1134"/>
          </w:tcPr>
          <w:p>
            <w:pPr>
              <w:spacing w:before="20" w:after="20"/>
              <w:jc w:val="center"/>
            </w:pPr>
            <w:r/>
            <w:r>
              <w:rPr>
                <w:rFonts w:ascii="Times New Roman" w:hAnsi="Times New Roman"/>
                <w:b w:val="0"/>
                <w:sz w:val="18"/>
              </w:rPr>
              <w:t>-5.84</w:t>
            </w:r>
          </w:p>
        </w:tc>
      </w:tr>
      <w:tr>
        <w:tc>
          <w:tcPr>
            <w:tcW w:type="dxa" w:w="850"/>
          </w:tcPr>
          <w:p>
            <w:pPr>
              <w:spacing w:before="20" w:after="20"/>
              <w:jc w:val="center"/>
            </w:pPr>
            <w:r/>
            <w:r>
              <w:rPr>
                <w:rFonts w:ascii="Times New Roman" w:hAnsi="Times New Roman"/>
                <w:b w:val="0"/>
                <w:sz w:val="18"/>
              </w:rPr>
              <w:t>L03</w:t>
            </w:r>
          </w:p>
        </w:tc>
        <w:tc>
          <w:tcPr>
            <w:tcW w:type="dxa" w:w="1587"/>
          </w:tcPr>
          <w:p>
            <w:pPr>
              <w:spacing w:before="20" w:after="20"/>
              <w:jc w:val="center"/>
            </w:pPr>
            <w:r/>
            <w:r>
              <w:rPr>
                <w:rFonts w:ascii="Times New Roman" w:hAnsi="Times New Roman"/>
                <w:b w:val="0"/>
                <w:sz w:val="18"/>
              </w:rPr>
              <w:t>1485.3</w:t>
            </w:r>
          </w:p>
        </w:tc>
        <w:tc>
          <w:tcPr>
            <w:tcW w:type="dxa" w:w="1417"/>
          </w:tcPr>
          <w:p>
            <w:pPr>
              <w:spacing w:before="20" w:after="20"/>
              <w:jc w:val="center"/>
            </w:pPr>
            <w:r/>
            <w:r>
              <w:rPr>
                <w:rFonts w:ascii="Times New Roman" w:hAnsi="Times New Roman"/>
                <w:b w:val="0"/>
                <w:sz w:val="18"/>
              </w:rPr>
              <w:t>52.53</w:t>
            </w:r>
          </w:p>
        </w:tc>
        <w:tc>
          <w:tcPr>
            <w:tcW w:type="dxa" w:w="1417"/>
          </w:tcPr>
          <w:p>
            <w:pPr>
              <w:spacing w:before="20" w:after="20"/>
              <w:jc w:val="center"/>
            </w:pPr>
            <w:r/>
            <w:r>
              <w:rPr>
                <w:rFonts w:ascii="Times New Roman" w:hAnsi="Times New Roman"/>
                <w:b w:val="0"/>
                <w:sz w:val="18"/>
              </w:rPr>
              <w:t>33.96</w:t>
            </w:r>
          </w:p>
        </w:tc>
        <w:tc>
          <w:tcPr>
            <w:tcW w:type="dxa" w:w="1134"/>
          </w:tcPr>
          <w:p>
            <w:pPr>
              <w:spacing w:before="20" w:after="20"/>
              <w:jc w:val="center"/>
            </w:pPr>
            <w:r/>
            <w:r>
              <w:rPr>
                <w:rFonts w:ascii="Times New Roman" w:hAnsi="Times New Roman"/>
                <w:b w:val="0"/>
                <w:sz w:val="18"/>
              </w:rPr>
              <w:t>+18.57</w:t>
            </w:r>
          </w:p>
        </w:tc>
      </w:tr>
      <w:tr>
        <w:tc>
          <w:tcPr>
            <w:tcW w:type="dxa" w:w="850"/>
          </w:tcPr>
          <w:p>
            <w:pPr>
              <w:spacing w:before="20" w:after="20"/>
              <w:jc w:val="center"/>
            </w:pPr>
            <w:r/>
            <w:r>
              <w:rPr>
                <w:rFonts w:ascii="Times New Roman" w:hAnsi="Times New Roman"/>
                <w:b w:val="0"/>
                <w:sz w:val="18"/>
              </w:rPr>
              <w:t>L04</w:t>
            </w:r>
          </w:p>
        </w:tc>
        <w:tc>
          <w:tcPr>
            <w:tcW w:type="dxa" w:w="1587"/>
          </w:tcPr>
          <w:p>
            <w:pPr>
              <w:spacing w:before="20" w:after="20"/>
              <w:jc w:val="center"/>
            </w:pPr>
            <w:r/>
            <w:r>
              <w:rPr>
                <w:rFonts w:ascii="Times New Roman" w:hAnsi="Times New Roman"/>
                <w:b w:val="0"/>
                <w:sz w:val="18"/>
              </w:rPr>
              <w:t>3352.6</w:t>
            </w:r>
          </w:p>
        </w:tc>
        <w:tc>
          <w:tcPr>
            <w:tcW w:type="dxa" w:w="1417"/>
          </w:tcPr>
          <w:p>
            <w:pPr>
              <w:spacing w:before="20" w:after="20"/>
              <w:jc w:val="center"/>
            </w:pPr>
            <w:r/>
            <w:r>
              <w:rPr>
                <w:rFonts w:ascii="Times New Roman" w:hAnsi="Times New Roman"/>
                <w:b w:val="0"/>
                <w:sz w:val="18"/>
              </w:rPr>
              <w:t>51.62</w:t>
            </w:r>
          </w:p>
        </w:tc>
        <w:tc>
          <w:tcPr>
            <w:tcW w:type="dxa" w:w="1417"/>
          </w:tcPr>
          <w:p>
            <w:pPr>
              <w:spacing w:before="20" w:after="20"/>
              <w:jc w:val="center"/>
            </w:pPr>
            <w:r/>
            <w:r>
              <w:rPr>
                <w:rFonts w:ascii="Times New Roman" w:hAnsi="Times New Roman"/>
                <w:b w:val="0"/>
                <w:sz w:val="18"/>
              </w:rPr>
              <w:t>51.38</w:t>
            </w:r>
          </w:p>
        </w:tc>
        <w:tc>
          <w:tcPr>
            <w:tcW w:type="dxa" w:w="1134"/>
          </w:tcPr>
          <w:p>
            <w:pPr>
              <w:spacing w:before="20" w:after="20"/>
              <w:jc w:val="center"/>
            </w:pPr>
            <w:r/>
            <w:r>
              <w:rPr>
                <w:rFonts w:ascii="Times New Roman" w:hAnsi="Times New Roman"/>
                <w:b w:val="0"/>
                <w:sz w:val="18"/>
              </w:rPr>
              <w:t>+0.24</w:t>
            </w:r>
          </w:p>
        </w:tc>
      </w:tr>
      <w:tr>
        <w:tc>
          <w:tcPr>
            <w:tcW w:type="dxa" w:w="850"/>
          </w:tcPr>
          <w:p>
            <w:pPr>
              <w:spacing w:before="20" w:after="20"/>
              <w:jc w:val="center"/>
            </w:pPr>
            <w:r/>
            <w:r>
              <w:rPr>
                <w:rFonts w:ascii="Times New Roman" w:hAnsi="Times New Roman"/>
                <w:b w:val="0"/>
                <w:sz w:val="18"/>
              </w:rPr>
              <w:t>L05</w:t>
            </w:r>
          </w:p>
        </w:tc>
        <w:tc>
          <w:tcPr>
            <w:tcW w:type="dxa" w:w="1587"/>
          </w:tcPr>
          <w:p>
            <w:pPr>
              <w:spacing w:before="20" w:after="20"/>
              <w:jc w:val="center"/>
            </w:pPr>
            <w:r/>
            <w:r>
              <w:rPr>
                <w:rFonts w:ascii="Times New Roman" w:hAnsi="Times New Roman"/>
                <w:b w:val="0"/>
                <w:sz w:val="18"/>
              </w:rPr>
              <w:t>3309.2</w:t>
            </w:r>
          </w:p>
        </w:tc>
        <w:tc>
          <w:tcPr>
            <w:tcW w:type="dxa" w:w="1417"/>
          </w:tcPr>
          <w:p>
            <w:pPr>
              <w:spacing w:before="20" w:after="20"/>
              <w:jc w:val="center"/>
            </w:pPr>
            <w:r/>
            <w:r>
              <w:rPr>
                <w:rFonts w:ascii="Times New Roman" w:hAnsi="Times New Roman"/>
                <w:b w:val="0"/>
                <w:sz w:val="18"/>
              </w:rPr>
              <w:t>51.43</w:t>
            </w:r>
          </w:p>
        </w:tc>
        <w:tc>
          <w:tcPr>
            <w:tcW w:type="dxa" w:w="1417"/>
          </w:tcPr>
          <w:p>
            <w:pPr>
              <w:spacing w:before="20" w:after="20"/>
              <w:jc w:val="center"/>
            </w:pPr>
            <w:r/>
            <w:r>
              <w:rPr>
                <w:rFonts w:ascii="Times New Roman" w:hAnsi="Times New Roman"/>
                <w:b w:val="0"/>
                <w:sz w:val="18"/>
              </w:rPr>
              <w:t>50.97</w:t>
            </w:r>
          </w:p>
        </w:tc>
        <w:tc>
          <w:tcPr>
            <w:tcW w:type="dxa" w:w="1134"/>
          </w:tcPr>
          <w:p>
            <w:pPr>
              <w:spacing w:before="20" w:after="20"/>
              <w:jc w:val="center"/>
            </w:pPr>
            <w:r/>
            <w:r>
              <w:rPr>
                <w:rFonts w:ascii="Times New Roman" w:hAnsi="Times New Roman"/>
                <w:b w:val="0"/>
                <w:sz w:val="18"/>
              </w:rPr>
              <w:t>+0.46</w:t>
            </w:r>
          </w:p>
        </w:tc>
      </w:tr>
      <w:tr>
        <w:tc>
          <w:tcPr>
            <w:tcW w:type="dxa" w:w="850"/>
          </w:tcPr>
          <w:p>
            <w:pPr>
              <w:spacing w:before="20" w:after="20"/>
              <w:jc w:val="center"/>
            </w:pPr>
            <w:r/>
            <w:r>
              <w:rPr>
                <w:rFonts w:ascii="Times New Roman" w:hAnsi="Times New Roman"/>
                <w:b w:val="0"/>
                <w:sz w:val="18"/>
              </w:rPr>
              <w:t>L06</w:t>
            </w:r>
          </w:p>
        </w:tc>
        <w:tc>
          <w:tcPr>
            <w:tcW w:type="dxa" w:w="1587"/>
          </w:tcPr>
          <w:p>
            <w:pPr>
              <w:spacing w:before="20" w:after="20"/>
              <w:jc w:val="center"/>
            </w:pPr>
            <w:r/>
            <w:r>
              <w:rPr>
                <w:rFonts w:ascii="Times New Roman" w:hAnsi="Times New Roman"/>
                <w:b w:val="0"/>
                <w:sz w:val="18"/>
              </w:rPr>
              <w:t>2245.8</w:t>
            </w:r>
          </w:p>
        </w:tc>
        <w:tc>
          <w:tcPr>
            <w:tcW w:type="dxa" w:w="1417"/>
          </w:tcPr>
          <w:p>
            <w:pPr>
              <w:spacing w:before="20" w:after="20"/>
              <w:jc w:val="center"/>
            </w:pPr>
            <w:r/>
            <w:r>
              <w:rPr>
                <w:rFonts w:ascii="Times New Roman" w:hAnsi="Times New Roman"/>
                <w:b w:val="0"/>
                <w:sz w:val="18"/>
              </w:rPr>
              <w:t>38.97</w:t>
            </w:r>
          </w:p>
        </w:tc>
        <w:tc>
          <w:tcPr>
            <w:tcW w:type="dxa" w:w="1417"/>
          </w:tcPr>
          <w:p>
            <w:pPr>
              <w:spacing w:before="20" w:after="20"/>
              <w:jc w:val="center"/>
            </w:pPr>
            <w:r/>
            <w:r>
              <w:rPr>
                <w:rFonts w:ascii="Times New Roman" w:hAnsi="Times New Roman"/>
                <w:b w:val="0"/>
                <w:sz w:val="18"/>
              </w:rPr>
              <w:t>41.05</w:t>
            </w:r>
          </w:p>
        </w:tc>
        <w:tc>
          <w:tcPr>
            <w:tcW w:type="dxa" w:w="1134"/>
          </w:tcPr>
          <w:p>
            <w:pPr>
              <w:spacing w:before="20" w:after="20"/>
              <w:jc w:val="center"/>
            </w:pPr>
            <w:r/>
            <w:r>
              <w:rPr>
                <w:rFonts w:ascii="Times New Roman" w:hAnsi="Times New Roman"/>
                <w:b w:val="0"/>
                <w:sz w:val="18"/>
              </w:rPr>
              <w:t>-2.08</w:t>
            </w:r>
          </w:p>
        </w:tc>
      </w:tr>
      <w:tr>
        <w:tc>
          <w:tcPr>
            <w:tcW w:type="dxa" w:w="850"/>
          </w:tcPr>
          <w:p>
            <w:pPr>
              <w:spacing w:before="20" w:after="20"/>
              <w:jc w:val="center"/>
            </w:pPr>
            <w:r/>
            <w:r>
              <w:rPr>
                <w:rFonts w:ascii="Times New Roman" w:hAnsi="Times New Roman"/>
                <w:b w:val="0"/>
                <w:sz w:val="18"/>
              </w:rPr>
              <w:t>L07</w:t>
            </w:r>
          </w:p>
        </w:tc>
        <w:tc>
          <w:tcPr>
            <w:tcW w:type="dxa" w:w="1587"/>
          </w:tcPr>
          <w:p>
            <w:pPr>
              <w:spacing w:before="20" w:after="20"/>
              <w:jc w:val="center"/>
            </w:pPr>
            <w:r/>
            <w:r>
              <w:rPr>
                <w:rFonts w:ascii="Times New Roman" w:hAnsi="Times New Roman"/>
                <w:b w:val="0"/>
                <w:sz w:val="18"/>
              </w:rPr>
              <w:t>0.0</w:t>
            </w:r>
          </w:p>
        </w:tc>
        <w:tc>
          <w:tcPr>
            <w:tcW w:type="dxa" w:w="1417"/>
          </w:tcPr>
          <w:p>
            <w:pPr>
              <w:spacing w:before="20" w:after="20"/>
              <w:jc w:val="center"/>
            </w:pPr>
            <w:r/>
            <w:r>
              <w:rPr>
                <w:rFonts w:ascii="Times New Roman" w:hAnsi="Times New Roman"/>
                <w:b w:val="0"/>
                <w:sz w:val="18"/>
              </w:rPr>
              <w:t>22.41</w:t>
            </w:r>
          </w:p>
        </w:tc>
        <w:tc>
          <w:tcPr>
            <w:tcW w:type="dxa" w:w="1417"/>
          </w:tcPr>
          <w:p>
            <w:pPr>
              <w:spacing w:before="20" w:after="20"/>
              <w:jc w:val="center"/>
            </w:pPr>
            <w:r/>
            <w:r>
              <w:rPr>
                <w:rFonts w:ascii="Times New Roman" w:hAnsi="Times New Roman"/>
                <w:b w:val="0"/>
                <w:sz w:val="18"/>
              </w:rPr>
              <w:t>20.10</w:t>
            </w:r>
          </w:p>
        </w:tc>
        <w:tc>
          <w:tcPr>
            <w:tcW w:type="dxa" w:w="1134"/>
          </w:tcPr>
          <w:p>
            <w:pPr>
              <w:spacing w:before="20" w:after="20"/>
              <w:jc w:val="center"/>
            </w:pPr>
            <w:r/>
            <w:r>
              <w:rPr>
                <w:rFonts w:ascii="Times New Roman" w:hAnsi="Times New Roman"/>
                <w:b w:val="0"/>
                <w:sz w:val="18"/>
              </w:rPr>
              <w:t>+2.31</w:t>
            </w:r>
          </w:p>
        </w:tc>
      </w:tr>
      <w:tr>
        <w:tc>
          <w:tcPr>
            <w:tcW w:type="dxa" w:w="850"/>
          </w:tcPr>
          <w:p>
            <w:pPr>
              <w:spacing w:before="20" w:after="20"/>
              <w:jc w:val="center"/>
            </w:pPr>
            <w:r/>
            <w:r>
              <w:rPr>
                <w:rFonts w:ascii="Times New Roman" w:hAnsi="Times New Roman"/>
                <w:b w:val="0"/>
                <w:sz w:val="18"/>
              </w:rPr>
              <w:t>L08</w:t>
            </w:r>
          </w:p>
        </w:tc>
        <w:tc>
          <w:tcPr>
            <w:tcW w:type="dxa" w:w="1587"/>
          </w:tcPr>
          <w:p>
            <w:pPr>
              <w:spacing w:before="20" w:after="20"/>
              <w:jc w:val="center"/>
            </w:pPr>
            <w:r/>
            <w:r>
              <w:rPr>
                <w:rFonts w:ascii="Times New Roman" w:hAnsi="Times New Roman"/>
                <w:b w:val="0"/>
                <w:sz w:val="18"/>
              </w:rPr>
              <w:t>3208.1</w:t>
            </w:r>
          </w:p>
        </w:tc>
        <w:tc>
          <w:tcPr>
            <w:tcW w:type="dxa" w:w="1417"/>
          </w:tcPr>
          <w:p>
            <w:pPr>
              <w:spacing w:before="20" w:after="20"/>
              <w:jc w:val="center"/>
            </w:pPr>
            <w:r/>
            <w:r>
              <w:rPr>
                <w:rFonts w:ascii="Times New Roman" w:hAnsi="Times New Roman"/>
                <w:b w:val="0"/>
                <w:sz w:val="18"/>
              </w:rPr>
              <w:t>47.95</w:t>
            </w:r>
          </w:p>
        </w:tc>
        <w:tc>
          <w:tcPr>
            <w:tcW w:type="dxa" w:w="1417"/>
          </w:tcPr>
          <w:p>
            <w:pPr>
              <w:spacing w:before="20" w:after="20"/>
              <w:jc w:val="center"/>
            </w:pPr>
            <w:r/>
            <w:r>
              <w:rPr>
                <w:rFonts w:ascii="Times New Roman" w:hAnsi="Times New Roman"/>
                <w:b w:val="0"/>
                <w:sz w:val="18"/>
              </w:rPr>
              <w:t>50.03</w:t>
            </w:r>
          </w:p>
        </w:tc>
        <w:tc>
          <w:tcPr>
            <w:tcW w:type="dxa" w:w="1134"/>
          </w:tcPr>
          <w:p>
            <w:pPr>
              <w:spacing w:before="20" w:after="20"/>
              <w:jc w:val="center"/>
            </w:pPr>
            <w:r/>
            <w:r>
              <w:rPr>
                <w:rFonts w:ascii="Times New Roman" w:hAnsi="Times New Roman"/>
                <w:b w:val="0"/>
                <w:sz w:val="18"/>
              </w:rPr>
              <w:t>-2.08</w:t>
            </w:r>
          </w:p>
        </w:tc>
      </w:tr>
      <w:tr>
        <w:tc>
          <w:tcPr>
            <w:tcW w:type="dxa" w:w="850"/>
          </w:tcPr>
          <w:p>
            <w:pPr>
              <w:spacing w:before="20" w:after="20"/>
              <w:jc w:val="center"/>
            </w:pPr>
            <w:r/>
            <w:r>
              <w:rPr>
                <w:rFonts w:ascii="Times New Roman" w:hAnsi="Times New Roman"/>
                <w:b/>
                <w:sz w:val="18"/>
              </w:rPr>
              <w:t>L09</w:t>
            </w:r>
          </w:p>
        </w:tc>
        <w:tc>
          <w:tcPr>
            <w:tcW w:type="dxa" w:w="1587"/>
          </w:tcPr>
          <w:p>
            <w:pPr>
              <w:spacing w:before="20" w:after="20"/>
              <w:jc w:val="center"/>
            </w:pPr>
            <w:r/>
            <w:r>
              <w:rPr>
                <w:rFonts w:ascii="Times New Roman" w:hAnsi="Times New Roman"/>
                <w:b/>
                <w:sz w:val="18"/>
              </w:rPr>
              <w:t>2468.8</w:t>
            </w:r>
          </w:p>
        </w:tc>
        <w:tc>
          <w:tcPr>
            <w:tcW w:type="dxa" w:w="1417"/>
          </w:tcPr>
          <w:p>
            <w:pPr>
              <w:spacing w:before="20" w:after="20"/>
              <w:jc w:val="center"/>
            </w:pPr>
            <w:r/>
            <w:r>
              <w:rPr>
                <w:rFonts w:ascii="Times New Roman" w:hAnsi="Times New Roman"/>
                <w:b/>
                <w:sz w:val="18"/>
              </w:rPr>
              <w:t>42.68</w:t>
            </w:r>
          </w:p>
        </w:tc>
        <w:tc>
          <w:tcPr>
            <w:tcW w:type="dxa" w:w="1417"/>
          </w:tcPr>
          <w:p>
            <w:pPr>
              <w:spacing w:before="20" w:after="20"/>
              <w:jc w:val="center"/>
            </w:pPr>
            <w:r/>
            <w:r>
              <w:rPr>
                <w:rFonts w:ascii="Times New Roman" w:hAnsi="Times New Roman"/>
                <w:b/>
                <w:sz w:val="18"/>
              </w:rPr>
              <w:t>43.13</w:t>
            </w:r>
          </w:p>
        </w:tc>
        <w:tc>
          <w:tcPr>
            <w:tcW w:type="dxa" w:w="1134"/>
          </w:tcPr>
          <w:p>
            <w:pPr>
              <w:spacing w:before="20" w:after="20"/>
              <w:jc w:val="center"/>
            </w:pPr>
            <w:r/>
            <w:r>
              <w:rPr>
                <w:rFonts w:ascii="Times New Roman" w:hAnsi="Times New Roman"/>
                <w:b/>
                <w:sz w:val="18"/>
              </w:rPr>
              <w:t>-0.45</w:t>
            </w:r>
          </w:p>
        </w:tc>
      </w:tr>
    </w:tbl>
    <w:p/>
    <w:p>
      <w:pPr>
        <w:spacing w:after="120"/>
      </w:pPr>
      <w:r>
        <w:rPr>
          <w:rFonts w:ascii="Times New Roman" w:hAnsi="Times New Roman"/>
          <w:b/>
          <w:i w:val="0"/>
          <w:sz w:val="22"/>
        </w:rPr>
        <w:t>Table 5.2: CS vs Amorphous PSD — Peak Intensity</w:t>
      </w:r>
    </w:p>
    <w:p>
      <w:pPr>
        <w:spacing w:after="120"/>
      </w:pPr>
      <w:r>
        <w:rPr>
          <w:rFonts w:ascii="Times New Roman" w:hAnsi="Times New Roman"/>
          <w:b w:val="0"/>
          <w:i/>
          <w:sz w:val="18"/>
        </w:rPr>
        <w:t>Regression: CS = 20.114 + 0.063548 × Amor(PI); R² = 0.6561; r = +0.8100; p &lt; 0.01</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50"/>
            <w:shd w:fill="003366"/>
          </w:tcPr>
          <w:p>
            <w:pPr>
              <w:spacing w:before="20" w:after="20"/>
              <w:jc w:val="center"/>
            </w:pPr>
            <w:r/>
            <w:r>
              <w:rPr>
                <w:rFonts w:ascii="Times New Roman" w:hAnsi="Times New Roman"/>
                <w:b/>
                <w:color w:val="FFFFFF"/>
                <w:sz w:val="18"/>
              </w:rPr>
              <w:t>Mix</w:t>
            </w:r>
          </w:p>
        </w:tc>
        <w:tc>
          <w:tcPr>
            <w:tcW w:type="dxa" w:w="1587"/>
            <w:shd w:fill="003366"/>
          </w:tcPr>
          <w:p>
            <w:pPr>
              <w:spacing w:before="20" w:after="20"/>
              <w:jc w:val="center"/>
            </w:pPr>
            <w:r/>
            <w:r>
              <w:rPr>
                <w:rFonts w:ascii="Times New Roman" w:hAnsi="Times New Roman"/>
                <w:b/>
                <w:color w:val="FFFFFF"/>
                <w:sz w:val="18"/>
              </w:rPr>
              <w:t>x = Amor(PI)</w:t>
            </w:r>
          </w:p>
        </w:tc>
        <w:tc>
          <w:tcPr>
            <w:tcW w:type="dxa" w:w="1417"/>
            <w:shd w:fill="003366"/>
          </w:tcPr>
          <w:p>
            <w:pPr>
              <w:spacing w:before="20" w:after="20"/>
              <w:jc w:val="center"/>
            </w:pPr>
            <w:r/>
            <w:r>
              <w:rPr>
                <w:rFonts w:ascii="Times New Roman" w:hAnsi="Times New Roman"/>
                <w:b/>
                <w:color w:val="FFFFFF"/>
                <w:sz w:val="18"/>
              </w:rPr>
              <w:t>y = CS (MPa)</w:t>
            </w:r>
          </w:p>
        </w:tc>
        <w:tc>
          <w:tcPr>
            <w:tcW w:type="dxa" w:w="1417"/>
            <w:shd w:fill="003366"/>
          </w:tcPr>
          <w:p>
            <w:pPr>
              <w:spacing w:before="20" w:after="20"/>
              <w:jc w:val="center"/>
            </w:pPr>
            <w:r/>
            <w:r>
              <w:rPr>
                <w:rFonts w:ascii="Times New Roman" w:hAnsi="Times New Roman"/>
                <w:b/>
                <w:color w:val="FFFFFF"/>
                <w:sz w:val="18"/>
              </w:rPr>
              <w:t>CS_predicted</w:t>
            </w:r>
          </w:p>
        </w:tc>
        <w:tc>
          <w:tcPr>
            <w:tcW w:type="dxa" w:w="1134"/>
            <w:shd w:fill="003366"/>
          </w:tcPr>
          <w:p>
            <w:pPr>
              <w:spacing w:before="20" w:after="20"/>
              <w:jc w:val="center"/>
            </w:pPr>
            <w:r/>
            <w:r>
              <w:rPr>
                <w:rFonts w:ascii="Times New Roman" w:hAnsi="Times New Roman"/>
                <w:b/>
                <w:color w:val="FFFFFF"/>
                <w:sz w:val="18"/>
              </w:rPr>
              <w:t>Residual</w:t>
            </w:r>
          </w:p>
        </w:tc>
      </w:tr>
      <w:tr>
        <w:tc>
          <w:tcPr>
            <w:tcW w:type="dxa" w:w="850"/>
          </w:tcPr>
          <w:p>
            <w:pPr>
              <w:spacing w:before="20" w:after="20"/>
              <w:jc w:val="center"/>
            </w:pPr>
            <w:r/>
            <w:r>
              <w:rPr>
                <w:rFonts w:ascii="Times New Roman" w:hAnsi="Times New Roman"/>
                <w:b w:val="0"/>
                <w:sz w:val="18"/>
              </w:rPr>
              <w:t>L01</w:t>
            </w:r>
          </w:p>
        </w:tc>
        <w:tc>
          <w:tcPr>
            <w:tcW w:type="dxa" w:w="1587"/>
          </w:tcPr>
          <w:p>
            <w:pPr>
              <w:spacing w:before="20" w:after="20"/>
              <w:jc w:val="center"/>
            </w:pPr>
            <w:r/>
            <w:r>
              <w:rPr>
                <w:rFonts w:ascii="Times New Roman" w:hAnsi="Times New Roman"/>
                <w:b w:val="0"/>
                <w:sz w:val="18"/>
              </w:rPr>
              <w:t>100.3</w:t>
            </w:r>
          </w:p>
        </w:tc>
        <w:tc>
          <w:tcPr>
            <w:tcW w:type="dxa" w:w="1417"/>
          </w:tcPr>
          <w:p>
            <w:pPr>
              <w:spacing w:before="20" w:after="20"/>
              <w:jc w:val="center"/>
            </w:pPr>
            <w:r/>
            <w:r>
              <w:rPr>
                <w:rFonts w:ascii="Times New Roman" w:hAnsi="Times New Roman"/>
                <w:b w:val="0"/>
                <w:sz w:val="18"/>
              </w:rPr>
              <w:t>15.34</w:t>
            </w:r>
          </w:p>
        </w:tc>
        <w:tc>
          <w:tcPr>
            <w:tcW w:type="dxa" w:w="1417"/>
          </w:tcPr>
          <w:p>
            <w:pPr>
              <w:spacing w:before="20" w:after="20"/>
              <w:jc w:val="center"/>
            </w:pPr>
            <w:r/>
            <w:r>
              <w:rPr>
                <w:rFonts w:ascii="Times New Roman" w:hAnsi="Times New Roman"/>
                <w:b w:val="0"/>
                <w:sz w:val="18"/>
              </w:rPr>
              <w:t>26.49</w:t>
            </w:r>
          </w:p>
        </w:tc>
        <w:tc>
          <w:tcPr>
            <w:tcW w:type="dxa" w:w="1134"/>
          </w:tcPr>
          <w:p>
            <w:pPr>
              <w:spacing w:before="20" w:after="20"/>
              <w:jc w:val="center"/>
            </w:pPr>
            <w:r/>
            <w:r>
              <w:rPr>
                <w:rFonts w:ascii="Times New Roman" w:hAnsi="Times New Roman"/>
                <w:b w:val="0"/>
                <w:sz w:val="18"/>
              </w:rPr>
              <w:t>-11.15</w:t>
            </w:r>
          </w:p>
        </w:tc>
      </w:tr>
      <w:tr>
        <w:tc>
          <w:tcPr>
            <w:tcW w:type="dxa" w:w="850"/>
          </w:tcPr>
          <w:p>
            <w:pPr>
              <w:spacing w:before="20" w:after="20"/>
              <w:jc w:val="center"/>
            </w:pPr>
            <w:r/>
            <w:r>
              <w:rPr>
                <w:rFonts w:ascii="Times New Roman" w:hAnsi="Times New Roman"/>
                <w:b w:val="0"/>
                <w:sz w:val="18"/>
              </w:rPr>
              <w:t>L02</w:t>
            </w:r>
          </w:p>
        </w:tc>
        <w:tc>
          <w:tcPr>
            <w:tcW w:type="dxa" w:w="1587"/>
          </w:tcPr>
          <w:p>
            <w:pPr>
              <w:spacing w:before="20" w:after="20"/>
              <w:jc w:val="center"/>
            </w:pPr>
            <w:r/>
            <w:r>
              <w:rPr>
                <w:rFonts w:ascii="Times New Roman" w:hAnsi="Times New Roman"/>
                <w:b w:val="0"/>
                <w:sz w:val="18"/>
              </w:rPr>
              <w:t>247.4</w:t>
            </w:r>
          </w:p>
        </w:tc>
        <w:tc>
          <w:tcPr>
            <w:tcW w:type="dxa" w:w="1417"/>
          </w:tcPr>
          <w:p>
            <w:pPr>
              <w:spacing w:before="20" w:after="20"/>
              <w:jc w:val="center"/>
            </w:pPr>
            <w:r/>
            <w:r>
              <w:rPr>
                <w:rFonts w:ascii="Times New Roman" w:hAnsi="Times New Roman"/>
                <w:b w:val="0"/>
                <w:sz w:val="18"/>
              </w:rPr>
              <w:t>29.98</w:t>
            </w:r>
          </w:p>
        </w:tc>
        <w:tc>
          <w:tcPr>
            <w:tcW w:type="dxa" w:w="1417"/>
          </w:tcPr>
          <w:p>
            <w:pPr>
              <w:spacing w:before="20" w:after="20"/>
              <w:jc w:val="center"/>
            </w:pPr>
            <w:r/>
            <w:r>
              <w:rPr>
                <w:rFonts w:ascii="Times New Roman" w:hAnsi="Times New Roman"/>
                <w:b w:val="0"/>
                <w:sz w:val="18"/>
              </w:rPr>
              <w:t>35.84</w:t>
            </w:r>
          </w:p>
        </w:tc>
        <w:tc>
          <w:tcPr>
            <w:tcW w:type="dxa" w:w="1134"/>
          </w:tcPr>
          <w:p>
            <w:pPr>
              <w:spacing w:before="20" w:after="20"/>
              <w:jc w:val="center"/>
            </w:pPr>
            <w:r/>
            <w:r>
              <w:rPr>
                <w:rFonts w:ascii="Times New Roman" w:hAnsi="Times New Roman"/>
                <w:b w:val="0"/>
                <w:sz w:val="18"/>
              </w:rPr>
              <w:t>-5.86</w:t>
            </w:r>
          </w:p>
        </w:tc>
      </w:tr>
      <w:tr>
        <w:tc>
          <w:tcPr>
            <w:tcW w:type="dxa" w:w="850"/>
          </w:tcPr>
          <w:p>
            <w:pPr>
              <w:spacing w:before="20" w:after="20"/>
              <w:jc w:val="center"/>
            </w:pPr>
            <w:r/>
            <w:r>
              <w:rPr>
                <w:rFonts w:ascii="Times New Roman" w:hAnsi="Times New Roman"/>
                <w:b w:val="0"/>
                <w:sz w:val="18"/>
              </w:rPr>
              <w:t>L03</w:t>
            </w:r>
          </w:p>
        </w:tc>
        <w:tc>
          <w:tcPr>
            <w:tcW w:type="dxa" w:w="1587"/>
          </w:tcPr>
          <w:p>
            <w:pPr>
              <w:spacing w:before="20" w:after="20"/>
              <w:jc w:val="center"/>
            </w:pPr>
            <w:r/>
            <w:r>
              <w:rPr>
                <w:rFonts w:ascii="Times New Roman" w:hAnsi="Times New Roman"/>
                <w:b w:val="0"/>
                <w:sz w:val="18"/>
              </w:rPr>
              <w:t>217.7</w:t>
            </w:r>
          </w:p>
        </w:tc>
        <w:tc>
          <w:tcPr>
            <w:tcW w:type="dxa" w:w="1417"/>
          </w:tcPr>
          <w:p>
            <w:pPr>
              <w:spacing w:before="20" w:after="20"/>
              <w:jc w:val="center"/>
            </w:pPr>
            <w:r/>
            <w:r>
              <w:rPr>
                <w:rFonts w:ascii="Times New Roman" w:hAnsi="Times New Roman"/>
                <w:b w:val="0"/>
                <w:sz w:val="18"/>
              </w:rPr>
              <w:t>52.53</w:t>
            </w:r>
          </w:p>
        </w:tc>
        <w:tc>
          <w:tcPr>
            <w:tcW w:type="dxa" w:w="1417"/>
          </w:tcPr>
          <w:p>
            <w:pPr>
              <w:spacing w:before="20" w:after="20"/>
              <w:jc w:val="center"/>
            </w:pPr>
            <w:r/>
            <w:r>
              <w:rPr>
                <w:rFonts w:ascii="Times New Roman" w:hAnsi="Times New Roman"/>
                <w:b w:val="0"/>
                <w:sz w:val="18"/>
              </w:rPr>
              <w:t>33.95</w:t>
            </w:r>
          </w:p>
        </w:tc>
        <w:tc>
          <w:tcPr>
            <w:tcW w:type="dxa" w:w="1134"/>
          </w:tcPr>
          <w:p>
            <w:pPr>
              <w:spacing w:before="20" w:after="20"/>
              <w:jc w:val="center"/>
            </w:pPr>
            <w:r/>
            <w:r>
              <w:rPr>
                <w:rFonts w:ascii="Times New Roman" w:hAnsi="Times New Roman"/>
                <w:b w:val="0"/>
                <w:sz w:val="18"/>
              </w:rPr>
              <w:t>+18.58</w:t>
            </w:r>
          </w:p>
        </w:tc>
      </w:tr>
      <w:tr>
        <w:tc>
          <w:tcPr>
            <w:tcW w:type="dxa" w:w="850"/>
          </w:tcPr>
          <w:p>
            <w:pPr>
              <w:spacing w:before="20" w:after="20"/>
              <w:jc w:val="center"/>
            </w:pPr>
            <w:r/>
            <w:r>
              <w:rPr>
                <w:rFonts w:ascii="Times New Roman" w:hAnsi="Times New Roman"/>
                <w:b w:val="0"/>
                <w:sz w:val="18"/>
              </w:rPr>
              <w:t>L04</w:t>
            </w:r>
          </w:p>
        </w:tc>
        <w:tc>
          <w:tcPr>
            <w:tcW w:type="dxa" w:w="1587"/>
          </w:tcPr>
          <w:p>
            <w:pPr>
              <w:spacing w:before="20" w:after="20"/>
              <w:jc w:val="center"/>
            </w:pPr>
            <w:r/>
            <w:r>
              <w:rPr>
                <w:rFonts w:ascii="Times New Roman" w:hAnsi="Times New Roman"/>
                <w:b w:val="0"/>
                <w:sz w:val="18"/>
              </w:rPr>
              <w:t>492.0</w:t>
            </w:r>
          </w:p>
        </w:tc>
        <w:tc>
          <w:tcPr>
            <w:tcW w:type="dxa" w:w="1417"/>
          </w:tcPr>
          <w:p>
            <w:pPr>
              <w:spacing w:before="20" w:after="20"/>
              <w:jc w:val="center"/>
            </w:pPr>
            <w:r/>
            <w:r>
              <w:rPr>
                <w:rFonts w:ascii="Times New Roman" w:hAnsi="Times New Roman"/>
                <w:b w:val="0"/>
                <w:sz w:val="18"/>
              </w:rPr>
              <w:t>51.62</w:t>
            </w:r>
          </w:p>
        </w:tc>
        <w:tc>
          <w:tcPr>
            <w:tcW w:type="dxa" w:w="1417"/>
          </w:tcPr>
          <w:p>
            <w:pPr>
              <w:spacing w:before="20" w:after="20"/>
              <w:jc w:val="center"/>
            </w:pPr>
            <w:r/>
            <w:r>
              <w:rPr>
                <w:rFonts w:ascii="Times New Roman" w:hAnsi="Times New Roman"/>
                <w:b w:val="0"/>
                <w:sz w:val="18"/>
              </w:rPr>
              <w:t>51.38</w:t>
            </w:r>
          </w:p>
        </w:tc>
        <w:tc>
          <w:tcPr>
            <w:tcW w:type="dxa" w:w="1134"/>
          </w:tcPr>
          <w:p>
            <w:pPr>
              <w:spacing w:before="20" w:after="20"/>
              <w:jc w:val="center"/>
            </w:pPr>
            <w:r/>
            <w:r>
              <w:rPr>
                <w:rFonts w:ascii="Times New Roman" w:hAnsi="Times New Roman"/>
                <w:b w:val="0"/>
                <w:sz w:val="18"/>
              </w:rPr>
              <w:t>+0.24</w:t>
            </w:r>
          </w:p>
        </w:tc>
      </w:tr>
      <w:tr>
        <w:tc>
          <w:tcPr>
            <w:tcW w:type="dxa" w:w="850"/>
          </w:tcPr>
          <w:p>
            <w:pPr>
              <w:spacing w:before="20" w:after="20"/>
              <w:jc w:val="center"/>
            </w:pPr>
            <w:r/>
            <w:r>
              <w:rPr>
                <w:rFonts w:ascii="Times New Roman" w:hAnsi="Times New Roman"/>
                <w:b w:val="0"/>
                <w:sz w:val="18"/>
              </w:rPr>
              <w:t>L05</w:t>
            </w:r>
          </w:p>
        </w:tc>
        <w:tc>
          <w:tcPr>
            <w:tcW w:type="dxa" w:w="1587"/>
          </w:tcPr>
          <w:p>
            <w:pPr>
              <w:spacing w:before="20" w:after="20"/>
              <w:jc w:val="center"/>
            </w:pPr>
            <w:r/>
            <w:r>
              <w:rPr>
                <w:rFonts w:ascii="Times New Roman" w:hAnsi="Times New Roman"/>
                <w:b w:val="0"/>
                <w:sz w:val="18"/>
              </w:rPr>
              <w:t>485.9</w:t>
            </w:r>
          </w:p>
        </w:tc>
        <w:tc>
          <w:tcPr>
            <w:tcW w:type="dxa" w:w="1417"/>
          </w:tcPr>
          <w:p>
            <w:pPr>
              <w:spacing w:before="20" w:after="20"/>
              <w:jc w:val="center"/>
            </w:pPr>
            <w:r/>
            <w:r>
              <w:rPr>
                <w:rFonts w:ascii="Times New Roman" w:hAnsi="Times New Roman"/>
                <w:b w:val="0"/>
                <w:sz w:val="18"/>
              </w:rPr>
              <w:t>51.43</w:t>
            </w:r>
          </w:p>
        </w:tc>
        <w:tc>
          <w:tcPr>
            <w:tcW w:type="dxa" w:w="1417"/>
          </w:tcPr>
          <w:p>
            <w:pPr>
              <w:spacing w:before="20" w:after="20"/>
              <w:jc w:val="center"/>
            </w:pPr>
            <w:r/>
            <w:r>
              <w:rPr>
                <w:rFonts w:ascii="Times New Roman" w:hAnsi="Times New Roman"/>
                <w:b w:val="0"/>
                <w:sz w:val="18"/>
              </w:rPr>
              <w:t>50.99</w:t>
            </w:r>
          </w:p>
        </w:tc>
        <w:tc>
          <w:tcPr>
            <w:tcW w:type="dxa" w:w="1134"/>
          </w:tcPr>
          <w:p>
            <w:pPr>
              <w:spacing w:before="20" w:after="20"/>
              <w:jc w:val="center"/>
            </w:pPr>
            <w:r/>
            <w:r>
              <w:rPr>
                <w:rFonts w:ascii="Times New Roman" w:hAnsi="Times New Roman"/>
                <w:b w:val="0"/>
                <w:sz w:val="18"/>
              </w:rPr>
              <w:t>+0.44</w:t>
            </w:r>
          </w:p>
        </w:tc>
      </w:tr>
      <w:tr>
        <w:tc>
          <w:tcPr>
            <w:tcW w:type="dxa" w:w="850"/>
          </w:tcPr>
          <w:p>
            <w:pPr>
              <w:spacing w:before="20" w:after="20"/>
              <w:jc w:val="center"/>
            </w:pPr>
            <w:r/>
            <w:r>
              <w:rPr>
                <w:rFonts w:ascii="Times New Roman" w:hAnsi="Times New Roman"/>
                <w:b w:val="0"/>
                <w:sz w:val="18"/>
              </w:rPr>
              <w:t>L06</w:t>
            </w:r>
          </w:p>
        </w:tc>
        <w:tc>
          <w:tcPr>
            <w:tcW w:type="dxa" w:w="1587"/>
          </w:tcPr>
          <w:p>
            <w:pPr>
              <w:spacing w:before="20" w:after="20"/>
              <w:jc w:val="center"/>
            </w:pPr>
            <w:r/>
            <w:r>
              <w:rPr>
                <w:rFonts w:ascii="Times New Roman" w:hAnsi="Times New Roman"/>
                <w:b w:val="0"/>
                <w:sz w:val="18"/>
              </w:rPr>
              <w:t>328.8</w:t>
            </w:r>
          </w:p>
        </w:tc>
        <w:tc>
          <w:tcPr>
            <w:tcW w:type="dxa" w:w="1417"/>
          </w:tcPr>
          <w:p>
            <w:pPr>
              <w:spacing w:before="20" w:after="20"/>
              <w:jc w:val="center"/>
            </w:pPr>
            <w:r/>
            <w:r>
              <w:rPr>
                <w:rFonts w:ascii="Times New Roman" w:hAnsi="Times New Roman"/>
                <w:b w:val="0"/>
                <w:sz w:val="18"/>
              </w:rPr>
              <w:t>38.97</w:t>
            </w:r>
          </w:p>
        </w:tc>
        <w:tc>
          <w:tcPr>
            <w:tcW w:type="dxa" w:w="1417"/>
          </w:tcPr>
          <w:p>
            <w:pPr>
              <w:spacing w:before="20" w:after="20"/>
              <w:jc w:val="center"/>
            </w:pPr>
            <w:r/>
            <w:r>
              <w:rPr>
                <w:rFonts w:ascii="Times New Roman" w:hAnsi="Times New Roman"/>
                <w:b w:val="0"/>
                <w:sz w:val="18"/>
              </w:rPr>
              <w:t>41.01</w:t>
            </w:r>
          </w:p>
        </w:tc>
        <w:tc>
          <w:tcPr>
            <w:tcW w:type="dxa" w:w="1134"/>
          </w:tcPr>
          <w:p>
            <w:pPr>
              <w:spacing w:before="20" w:after="20"/>
              <w:jc w:val="center"/>
            </w:pPr>
            <w:r/>
            <w:r>
              <w:rPr>
                <w:rFonts w:ascii="Times New Roman" w:hAnsi="Times New Roman"/>
                <w:b w:val="0"/>
                <w:sz w:val="18"/>
              </w:rPr>
              <w:t>-2.04</w:t>
            </w:r>
          </w:p>
        </w:tc>
      </w:tr>
      <w:tr>
        <w:tc>
          <w:tcPr>
            <w:tcW w:type="dxa" w:w="850"/>
          </w:tcPr>
          <w:p>
            <w:pPr>
              <w:spacing w:before="20" w:after="20"/>
              <w:jc w:val="center"/>
            </w:pPr>
            <w:r/>
            <w:r>
              <w:rPr>
                <w:rFonts w:ascii="Times New Roman" w:hAnsi="Times New Roman"/>
                <w:b w:val="0"/>
                <w:sz w:val="18"/>
              </w:rPr>
              <w:t>L07</w:t>
            </w:r>
          </w:p>
        </w:tc>
        <w:tc>
          <w:tcPr>
            <w:tcW w:type="dxa" w:w="1587"/>
          </w:tcPr>
          <w:p>
            <w:pPr>
              <w:spacing w:before="20" w:after="20"/>
              <w:jc w:val="center"/>
            </w:pPr>
            <w:r/>
            <w:r>
              <w:rPr>
                <w:rFonts w:ascii="Times New Roman" w:hAnsi="Times New Roman"/>
                <w:b w:val="0"/>
                <w:sz w:val="18"/>
              </w:rPr>
              <w:t>0.0</w:t>
            </w:r>
          </w:p>
        </w:tc>
        <w:tc>
          <w:tcPr>
            <w:tcW w:type="dxa" w:w="1417"/>
          </w:tcPr>
          <w:p>
            <w:pPr>
              <w:spacing w:before="20" w:after="20"/>
              <w:jc w:val="center"/>
            </w:pPr>
            <w:r/>
            <w:r>
              <w:rPr>
                <w:rFonts w:ascii="Times New Roman" w:hAnsi="Times New Roman"/>
                <w:b w:val="0"/>
                <w:sz w:val="18"/>
              </w:rPr>
              <w:t>22.41</w:t>
            </w:r>
          </w:p>
        </w:tc>
        <w:tc>
          <w:tcPr>
            <w:tcW w:type="dxa" w:w="1417"/>
          </w:tcPr>
          <w:p>
            <w:pPr>
              <w:spacing w:before="20" w:after="20"/>
              <w:jc w:val="center"/>
            </w:pPr>
            <w:r/>
            <w:r>
              <w:rPr>
                <w:rFonts w:ascii="Times New Roman" w:hAnsi="Times New Roman"/>
                <w:b w:val="0"/>
                <w:sz w:val="18"/>
              </w:rPr>
              <w:t>20.11</w:t>
            </w:r>
          </w:p>
        </w:tc>
        <w:tc>
          <w:tcPr>
            <w:tcW w:type="dxa" w:w="1134"/>
          </w:tcPr>
          <w:p>
            <w:pPr>
              <w:spacing w:before="20" w:after="20"/>
              <w:jc w:val="center"/>
            </w:pPr>
            <w:r/>
            <w:r>
              <w:rPr>
                <w:rFonts w:ascii="Times New Roman" w:hAnsi="Times New Roman"/>
                <w:b w:val="0"/>
                <w:sz w:val="18"/>
              </w:rPr>
              <w:t>+2.30</w:t>
            </w:r>
          </w:p>
        </w:tc>
      </w:tr>
      <w:tr>
        <w:tc>
          <w:tcPr>
            <w:tcW w:type="dxa" w:w="850"/>
          </w:tcPr>
          <w:p>
            <w:pPr>
              <w:spacing w:before="20" w:after="20"/>
              <w:jc w:val="center"/>
            </w:pPr>
            <w:r/>
            <w:r>
              <w:rPr>
                <w:rFonts w:ascii="Times New Roman" w:hAnsi="Times New Roman"/>
                <w:b w:val="0"/>
                <w:sz w:val="18"/>
              </w:rPr>
              <w:t>L08</w:t>
            </w:r>
          </w:p>
        </w:tc>
        <w:tc>
          <w:tcPr>
            <w:tcW w:type="dxa" w:w="1587"/>
          </w:tcPr>
          <w:p>
            <w:pPr>
              <w:spacing w:before="20" w:after="20"/>
              <w:jc w:val="center"/>
            </w:pPr>
            <w:r/>
            <w:r>
              <w:rPr>
                <w:rFonts w:ascii="Times New Roman" w:hAnsi="Times New Roman"/>
                <w:b w:val="0"/>
                <w:sz w:val="18"/>
              </w:rPr>
              <w:t>471.1</w:t>
            </w:r>
          </w:p>
        </w:tc>
        <w:tc>
          <w:tcPr>
            <w:tcW w:type="dxa" w:w="1417"/>
          </w:tcPr>
          <w:p>
            <w:pPr>
              <w:spacing w:before="20" w:after="20"/>
              <w:jc w:val="center"/>
            </w:pPr>
            <w:r/>
            <w:r>
              <w:rPr>
                <w:rFonts w:ascii="Times New Roman" w:hAnsi="Times New Roman"/>
                <w:b w:val="0"/>
                <w:sz w:val="18"/>
              </w:rPr>
              <w:t>47.95</w:t>
            </w:r>
          </w:p>
        </w:tc>
        <w:tc>
          <w:tcPr>
            <w:tcW w:type="dxa" w:w="1417"/>
          </w:tcPr>
          <w:p>
            <w:pPr>
              <w:spacing w:before="20" w:after="20"/>
              <w:jc w:val="center"/>
            </w:pPr>
            <w:r/>
            <w:r>
              <w:rPr>
                <w:rFonts w:ascii="Times New Roman" w:hAnsi="Times New Roman"/>
                <w:b w:val="0"/>
                <w:sz w:val="18"/>
              </w:rPr>
              <w:t>50.05</w:t>
            </w:r>
          </w:p>
        </w:tc>
        <w:tc>
          <w:tcPr>
            <w:tcW w:type="dxa" w:w="1134"/>
          </w:tcPr>
          <w:p>
            <w:pPr>
              <w:spacing w:before="20" w:after="20"/>
              <w:jc w:val="center"/>
            </w:pPr>
            <w:r/>
            <w:r>
              <w:rPr>
                <w:rFonts w:ascii="Times New Roman" w:hAnsi="Times New Roman"/>
                <w:b w:val="0"/>
                <w:sz w:val="18"/>
              </w:rPr>
              <w:t>-2.10</w:t>
            </w:r>
          </w:p>
        </w:tc>
      </w:tr>
      <w:tr>
        <w:tc>
          <w:tcPr>
            <w:tcW w:type="dxa" w:w="850"/>
          </w:tcPr>
          <w:p>
            <w:pPr>
              <w:spacing w:before="20" w:after="20"/>
              <w:jc w:val="center"/>
            </w:pPr>
            <w:r/>
            <w:r>
              <w:rPr>
                <w:rFonts w:ascii="Times New Roman" w:hAnsi="Times New Roman"/>
                <w:b/>
                <w:sz w:val="18"/>
              </w:rPr>
              <w:t>L09</w:t>
            </w:r>
          </w:p>
        </w:tc>
        <w:tc>
          <w:tcPr>
            <w:tcW w:type="dxa" w:w="1587"/>
          </w:tcPr>
          <w:p>
            <w:pPr>
              <w:spacing w:before="20" w:after="20"/>
              <w:jc w:val="center"/>
            </w:pPr>
            <w:r/>
            <w:r>
              <w:rPr>
                <w:rFonts w:ascii="Times New Roman" w:hAnsi="Times New Roman"/>
                <w:b/>
                <w:sz w:val="18"/>
              </w:rPr>
              <w:t>361.6</w:t>
            </w:r>
          </w:p>
        </w:tc>
        <w:tc>
          <w:tcPr>
            <w:tcW w:type="dxa" w:w="1417"/>
          </w:tcPr>
          <w:p>
            <w:pPr>
              <w:spacing w:before="20" w:after="20"/>
              <w:jc w:val="center"/>
            </w:pPr>
            <w:r/>
            <w:r>
              <w:rPr>
                <w:rFonts w:ascii="Times New Roman" w:hAnsi="Times New Roman"/>
                <w:b/>
                <w:sz w:val="18"/>
              </w:rPr>
              <w:t>42.68</w:t>
            </w:r>
          </w:p>
        </w:tc>
        <w:tc>
          <w:tcPr>
            <w:tcW w:type="dxa" w:w="1417"/>
          </w:tcPr>
          <w:p>
            <w:pPr>
              <w:spacing w:before="20" w:after="20"/>
              <w:jc w:val="center"/>
            </w:pPr>
            <w:r/>
            <w:r>
              <w:rPr>
                <w:rFonts w:ascii="Times New Roman" w:hAnsi="Times New Roman"/>
                <w:b/>
                <w:sz w:val="18"/>
              </w:rPr>
              <w:t>43.09</w:t>
            </w:r>
          </w:p>
        </w:tc>
        <w:tc>
          <w:tcPr>
            <w:tcW w:type="dxa" w:w="1134"/>
          </w:tcPr>
          <w:p>
            <w:pPr>
              <w:spacing w:before="20" w:after="20"/>
              <w:jc w:val="center"/>
            </w:pPr>
            <w:r/>
            <w:r>
              <w:rPr>
                <w:rFonts w:ascii="Times New Roman" w:hAnsi="Times New Roman"/>
                <w:b/>
                <w:sz w:val="18"/>
              </w:rPr>
              <w:t>-0.41</w:t>
            </w:r>
          </w:p>
        </w:tc>
      </w:tr>
    </w:tbl>
    <w:p/>
    <w:p>
      <w:pPr>
        <w:spacing w:after="120"/>
      </w:pPr>
      <w:r>
        <w:rPr>
          <w:rFonts w:ascii="Times New Roman" w:hAnsi="Times New Roman"/>
          <w:b/>
          <w:i w:val="0"/>
          <w:sz w:val="22"/>
        </w:rPr>
        <w:t>Table 5.3: CS vs Crystalline PSD — Integrated Area</w:t>
      </w:r>
    </w:p>
    <w:p>
      <w:pPr>
        <w:spacing w:after="120"/>
      </w:pPr>
      <w:r>
        <w:rPr>
          <w:rFonts w:ascii="Times New Roman" w:hAnsi="Times New Roman"/>
          <w:b w:val="0"/>
          <w:i/>
          <w:sz w:val="18"/>
        </w:rPr>
        <w:t>Regression: CS = 49.587 + -0.000794 × Cryst(IA); R² = 0.1008; r = -0.3176; 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50"/>
            <w:shd w:fill="003366"/>
          </w:tcPr>
          <w:p>
            <w:pPr>
              <w:spacing w:before="20" w:after="20"/>
              <w:jc w:val="center"/>
            </w:pPr>
            <w:r/>
            <w:r>
              <w:rPr>
                <w:rFonts w:ascii="Times New Roman" w:hAnsi="Times New Roman"/>
                <w:b/>
                <w:color w:val="FFFFFF"/>
                <w:sz w:val="18"/>
              </w:rPr>
              <w:t>Mix</w:t>
            </w:r>
          </w:p>
        </w:tc>
        <w:tc>
          <w:tcPr>
            <w:tcW w:type="dxa" w:w="1587"/>
            <w:shd w:fill="003366"/>
          </w:tcPr>
          <w:p>
            <w:pPr>
              <w:spacing w:before="20" w:after="20"/>
              <w:jc w:val="center"/>
            </w:pPr>
            <w:r/>
            <w:r>
              <w:rPr>
                <w:rFonts w:ascii="Times New Roman" w:hAnsi="Times New Roman"/>
                <w:b/>
                <w:color w:val="FFFFFF"/>
                <w:sz w:val="18"/>
              </w:rPr>
              <w:t>x = Cryst(IA)</w:t>
            </w:r>
          </w:p>
        </w:tc>
        <w:tc>
          <w:tcPr>
            <w:tcW w:type="dxa" w:w="1417"/>
            <w:shd w:fill="003366"/>
          </w:tcPr>
          <w:p>
            <w:pPr>
              <w:spacing w:before="20" w:after="20"/>
              <w:jc w:val="center"/>
            </w:pPr>
            <w:r/>
            <w:r>
              <w:rPr>
                <w:rFonts w:ascii="Times New Roman" w:hAnsi="Times New Roman"/>
                <w:b/>
                <w:color w:val="FFFFFF"/>
                <w:sz w:val="18"/>
              </w:rPr>
              <w:t>y = CS (MPa)</w:t>
            </w:r>
          </w:p>
        </w:tc>
        <w:tc>
          <w:tcPr>
            <w:tcW w:type="dxa" w:w="1417"/>
            <w:shd w:fill="003366"/>
          </w:tcPr>
          <w:p>
            <w:pPr>
              <w:spacing w:before="20" w:after="20"/>
              <w:jc w:val="center"/>
            </w:pPr>
            <w:r/>
            <w:r>
              <w:rPr>
                <w:rFonts w:ascii="Times New Roman" w:hAnsi="Times New Roman"/>
                <w:b/>
                <w:color w:val="FFFFFF"/>
                <w:sz w:val="18"/>
              </w:rPr>
              <w:t>CS_predicted</w:t>
            </w:r>
          </w:p>
        </w:tc>
        <w:tc>
          <w:tcPr>
            <w:tcW w:type="dxa" w:w="1134"/>
            <w:shd w:fill="003366"/>
          </w:tcPr>
          <w:p>
            <w:pPr>
              <w:spacing w:before="20" w:after="20"/>
              <w:jc w:val="center"/>
            </w:pPr>
            <w:r/>
            <w:r>
              <w:rPr>
                <w:rFonts w:ascii="Times New Roman" w:hAnsi="Times New Roman"/>
                <w:b/>
                <w:color w:val="FFFFFF"/>
                <w:sz w:val="18"/>
              </w:rPr>
              <w:t>Residual</w:t>
            </w:r>
          </w:p>
        </w:tc>
      </w:tr>
      <w:tr>
        <w:tc>
          <w:tcPr>
            <w:tcW w:type="dxa" w:w="850"/>
          </w:tcPr>
          <w:p>
            <w:pPr>
              <w:spacing w:before="20" w:after="20"/>
              <w:jc w:val="center"/>
            </w:pPr>
            <w:r/>
            <w:r>
              <w:rPr>
                <w:rFonts w:ascii="Times New Roman" w:hAnsi="Times New Roman"/>
                <w:b w:val="0"/>
                <w:sz w:val="18"/>
              </w:rPr>
              <w:t>L01</w:t>
            </w:r>
          </w:p>
        </w:tc>
        <w:tc>
          <w:tcPr>
            <w:tcW w:type="dxa" w:w="1587"/>
          </w:tcPr>
          <w:p>
            <w:pPr>
              <w:spacing w:before="20" w:after="20"/>
              <w:jc w:val="center"/>
            </w:pPr>
            <w:r/>
            <w:r>
              <w:rPr>
                <w:rFonts w:ascii="Times New Roman" w:hAnsi="Times New Roman"/>
                <w:b w:val="0"/>
                <w:sz w:val="18"/>
              </w:rPr>
              <w:t>12026</w:t>
            </w:r>
          </w:p>
        </w:tc>
        <w:tc>
          <w:tcPr>
            <w:tcW w:type="dxa" w:w="1417"/>
          </w:tcPr>
          <w:p>
            <w:pPr>
              <w:spacing w:before="20" w:after="20"/>
              <w:jc w:val="center"/>
            </w:pPr>
            <w:r/>
            <w:r>
              <w:rPr>
                <w:rFonts w:ascii="Times New Roman" w:hAnsi="Times New Roman"/>
                <w:b w:val="0"/>
                <w:sz w:val="18"/>
              </w:rPr>
              <w:t>15.34</w:t>
            </w:r>
          </w:p>
        </w:tc>
        <w:tc>
          <w:tcPr>
            <w:tcW w:type="dxa" w:w="1417"/>
          </w:tcPr>
          <w:p>
            <w:pPr>
              <w:spacing w:before="20" w:after="20"/>
              <w:jc w:val="center"/>
            </w:pPr>
            <w:r/>
            <w:r>
              <w:rPr>
                <w:rFonts w:ascii="Times New Roman" w:hAnsi="Times New Roman"/>
                <w:b w:val="0"/>
                <w:sz w:val="18"/>
              </w:rPr>
              <w:t>40.03</w:t>
            </w:r>
          </w:p>
        </w:tc>
        <w:tc>
          <w:tcPr>
            <w:tcW w:type="dxa" w:w="1134"/>
          </w:tcPr>
          <w:p>
            <w:pPr>
              <w:spacing w:before="20" w:after="20"/>
              <w:jc w:val="center"/>
            </w:pPr>
            <w:r/>
            <w:r>
              <w:rPr>
                <w:rFonts w:ascii="Times New Roman" w:hAnsi="Times New Roman"/>
                <w:b w:val="0"/>
                <w:sz w:val="18"/>
              </w:rPr>
              <w:t>-24.69</w:t>
            </w:r>
          </w:p>
        </w:tc>
      </w:tr>
      <w:tr>
        <w:tc>
          <w:tcPr>
            <w:tcW w:type="dxa" w:w="850"/>
          </w:tcPr>
          <w:p>
            <w:pPr>
              <w:spacing w:before="20" w:after="20"/>
              <w:jc w:val="center"/>
            </w:pPr>
            <w:r/>
            <w:r>
              <w:rPr>
                <w:rFonts w:ascii="Times New Roman" w:hAnsi="Times New Roman"/>
                <w:b w:val="0"/>
                <w:sz w:val="18"/>
              </w:rPr>
              <w:t>L02</w:t>
            </w:r>
          </w:p>
        </w:tc>
        <w:tc>
          <w:tcPr>
            <w:tcW w:type="dxa" w:w="1587"/>
          </w:tcPr>
          <w:p>
            <w:pPr>
              <w:spacing w:before="20" w:after="20"/>
              <w:jc w:val="center"/>
            </w:pPr>
            <w:r/>
            <w:r>
              <w:rPr>
                <w:rFonts w:ascii="Times New Roman" w:hAnsi="Times New Roman"/>
                <w:b w:val="0"/>
                <w:sz w:val="18"/>
              </w:rPr>
              <w:t>10395</w:t>
            </w:r>
          </w:p>
        </w:tc>
        <w:tc>
          <w:tcPr>
            <w:tcW w:type="dxa" w:w="1417"/>
          </w:tcPr>
          <w:p>
            <w:pPr>
              <w:spacing w:before="20" w:after="20"/>
              <w:jc w:val="center"/>
            </w:pPr>
            <w:r/>
            <w:r>
              <w:rPr>
                <w:rFonts w:ascii="Times New Roman" w:hAnsi="Times New Roman"/>
                <w:b w:val="0"/>
                <w:sz w:val="18"/>
              </w:rPr>
              <w:t>29.98</w:t>
            </w:r>
          </w:p>
        </w:tc>
        <w:tc>
          <w:tcPr>
            <w:tcW w:type="dxa" w:w="1417"/>
          </w:tcPr>
          <w:p>
            <w:pPr>
              <w:spacing w:before="20" w:after="20"/>
              <w:jc w:val="center"/>
            </w:pPr>
            <w:r/>
            <w:r>
              <w:rPr>
                <w:rFonts w:ascii="Times New Roman" w:hAnsi="Times New Roman"/>
                <w:b w:val="0"/>
                <w:sz w:val="18"/>
              </w:rPr>
              <w:t>41.33</w:t>
            </w:r>
          </w:p>
        </w:tc>
        <w:tc>
          <w:tcPr>
            <w:tcW w:type="dxa" w:w="1134"/>
          </w:tcPr>
          <w:p>
            <w:pPr>
              <w:spacing w:before="20" w:after="20"/>
              <w:jc w:val="center"/>
            </w:pPr>
            <w:r/>
            <w:r>
              <w:rPr>
                <w:rFonts w:ascii="Times New Roman" w:hAnsi="Times New Roman"/>
                <w:b w:val="0"/>
                <w:sz w:val="18"/>
              </w:rPr>
              <w:t>-11.35</w:t>
            </w:r>
          </w:p>
        </w:tc>
      </w:tr>
      <w:tr>
        <w:tc>
          <w:tcPr>
            <w:tcW w:type="dxa" w:w="850"/>
          </w:tcPr>
          <w:p>
            <w:pPr>
              <w:spacing w:before="20" w:after="20"/>
              <w:jc w:val="center"/>
            </w:pPr>
            <w:r/>
            <w:r>
              <w:rPr>
                <w:rFonts w:ascii="Times New Roman" w:hAnsi="Times New Roman"/>
                <w:b w:val="0"/>
                <w:sz w:val="18"/>
              </w:rPr>
              <w:t>L03</w:t>
            </w:r>
          </w:p>
        </w:tc>
        <w:tc>
          <w:tcPr>
            <w:tcW w:type="dxa" w:w="1587"/>
          </w:tcPr>
          <w:p>
            <w:pPr>
              <w:spacing w:before="20" w:after="20"/>
              <w:jc w:val="center"/>
            </w:pPr>
            <w:r/>
            <w:r>
              <w:rPr>
                <w:rFonts w:ascii="Times New Roman" w:hAnsi="Times New Roman"/>
                <w:b w:val="0"/>
                <w:sz w:val="18"/>
              </w:rPr>
              <w:t>19385</w:t>
            </w:r>
          </w:p>
        </w:tc>
        <w:tc>
          <w:tcPr>
            <w:tcW w:type="dxa" w:w="1417"/>
          </w:tcPr>
          <w:p>
            <w:pPr>
              <w:spacing w:before="20" w:after="20"/>
              <w:jc w:val="center"/>
            </w:pPr>
            <w:r/>
            <w:r>
              <w:rPr>
                <w:rFonts w:ascii="Times New Roman" w:hAnsi="Times New Roman"/>
                <w:b w:val="0"/>
                <w:sz w:val="18"/>
              </w:rPr>
              <w:t>52.53</w:t>
            </w:r>
          </w:p>
        </w:tc>
        <w:tc>
          <w:tcPr>
            <w:tcW w:type="dxa" w:w="1417"/>
          </w:tcPr>
          <w:p>
            <w:pPr>
              <w:spacing w:before="20" w:after="20"/>
              <w:jc w:val="center"/>
            </w:pPr>
            <w:r/>
            <w:r>
              <w:rPr>
                <w:rFonts w:ascii="Times New Roman" w:hAnsi="Times New Roman"/>
                <w:b w:val="0"/>
                <w:sz w:val="18"/>
              </w:rPr>
              <w:t>34.19</w:t>
            </w:r>
          </w:p>
        </w:tc>
        <w:tc>
          <w:tcPr>
            <w:tcW w:type="dxa" w:w="1134"/>
          </w:tcPr>
          <w:p>
            <w:pPr>
              <w:spacing w:before="20" w:after="20"/>
              <w:jc w:val="center"/>
            </w:pPr>
            <w:r/>
            <w:r>
              <w:rPr>
                <w:rFonts w:ascii="Times New Roman" w:hAnsi="Times New Roman"/>
                <w:b w:val="0"/>
                <w:sz w:val="18"/>
              </w:rPr>
              <w:t>+18.34</w:t>
            </w:r>
          </w:p>
        </w:tc>
      </w:tr>
      <w:tr>
        <w:tc>
          <w:tcPr>
            <w:tcW w:type="dxa" w:w="850"/>
          </w:tcPr>
          <w:p>
            <w:pPr>
              <w:spacing w:before="20" w:after="20"/>
              <w:jc w:val="center"/>
            </w:pPr>
            <w:r/>
            <w:r>
              <w:rPr>
                <w:rFonts w:ascii="Times New Roman" w:hAnsi="Times New Roman"/>
                <w:b w:val="0"/>
                <w:sz w:val="18"/>
              </w:rPr>
              <w:t>L04</w:t>
            </w:r>
          </w:p>
        </w:tc>
        <w:tc>
          <w:tcPr>
            <w:tcW w:type="dxa" w:w="1587"/>
          </w:tcPr>
          <w:p>
            <w:pPr>
              <w:spacing w:before="20" w:after="20"/>
              <w:jc w:val="center"/>
            </w:pPr>
            <w:r/>
            <w:r>
              <w:rPr>
                <w:rFonts w:ascii="Times New Roman" w:hAnsi="Times New Roman"/>
                <w:b w:val="0"/>
                <w:sz w:val="18"/>
              </w:rPr>
              <w:t>9760</w:t>
            </w:r>
          </w:p>
        </w:tc>
        <w:tc>
          <w:tcPr>
            <w:tcW w:type="dxa" w:w="1417"/>
          </w:tcPr>
          <w:p>
            <w:pPr>
              <w:spacing w:before="20" w:after="20"/>
              <w:jc w:val="center"/>
            </w:pPr>
            <w:r/>
            <w:r>
              <w:rPr>
                <w:rFonts w:ascii="Times New Roman" w:hAnsi="Times New Roman"/>
                <w:b w:val="0"/>
                <w:sz w:val="18"/>
              </w:rPr>
              <w:t>51.62</w:t>
            </w:r>
          </w:p>
        </w:tc>
        <w:tc>
          <w:tcPr>
            <w:tcW w:type="dxa" w:w="1417"/>
          </w:tcPr>
          <w:p>
            <w:pPr>
              <w:spacing w:before="20" w:after="20"/>
              <w:jc w:val="center"/>
            </w:pPr>
            <w:r/>
            <w:r>
              <w:rPr>
                <w:rFonts w:ascii="Times New Roman" w:hAnsi="Times New Roman"/>
                <w:b w:val="0"/>
                <w:sz w:val="18"/>
              </w:rPr>
              <w:t>41.83</w:t>
            </w:r>
          </w:p>
        </w:tc>
        <w:tc>
          <w:tcPr>
            <w:tcW w:type="dxa" w:w="1134"/>
          </w:tcPr>
          <w:p>
            <w:pPr>
              <w:spacing w:before="20" w:after="20"/>
              <w:jc w:val="center"/>
            </w:pPr>
            <w:r/>
            <w:r>
              <w:rPr>
                <w:rFonts w:ascii="Times New Roman" w:hAnsi="Times New Roman"/>
                <w:b w:val="0"/>
                <w:sz w:val="18"/>
              </w:rPr>
              <w:t>+9.79</w:t>
            </w:r>
          </w:p>
        </w:tc>
      </w:tr>
      <w:tr>
        <w:tc>
          <w:tcPr>
            <w:tcW w:type="dxa" w:w="850"/>
          </w:tcPr>
          <w:p>
            <w:pPr>
              <w:spacing w:before="20" w:after="20"/>
              <w:jc w:val="center"/>
            </w:pPr>
            <w:r/>
            <w:r>
              <w:rPr>
                <w:rFonts w:ascii="Times New Roman" w:hAnsi="Times New Roman"/>
                <w:b w:val="0"/>
                <w:sz w:val="18"/>
              </w:rPr>
              <w:t>L05</w:t>
            </w:r>
          </w:p>
        </w:tc>
        <w:tc>
          <w:tcPr>
            <w:tcW w:type="dxa" w:w="1587"/>
          </w:tcPr>
          <w:p>
            <w:pPr>
              <w:spacing w:before="20" w:after="20"/>
              <w:jc w:val="center"/>
            </w:pPr>
            <w:r/>
            <w:r>
              <w:rPr>
                <w:rFonts w:ascii="Times New Roman" w:hAnsi="Times New Roman"/>
                <w:b w:val="0"/>
                <w:sz w:val="18"/>
              </w:rPr>
              <w:t>9913</w:t>
            </w:r>
          </w:p>
        </w:tc>
        <w:tc>
          <w:tcPr>
            <w:tcW w:type="dxa" w:w="1417"/>
          </w:tcPr>
          <w:p>
            <w:pPr>
              <w:spacing w:before="20" w:after="20"/>
              <w:jc w:val="center"/>
            </w:pPr>
            <w:r/>
            <w:r>
              <w:rPr>
                <w:rFonts w:ascii="Times New Roman" w:hAnsi="Times New Roman"/>
                <w:b w:val="0"/>
                <w:sz w:val="18"/>
              </w:rPr>
              <w:t>51.43</w:t>
            </w:r>
          </w:p>
        </w:tc>
        <w:tc>
          <w:tcPr>
            <w:tcW w:type="dxa" w:w="1417"/>
          </w:tcPr>
          <w:p>
            <w:pPr>
              <w:spacing w:before="20" w:after="20"/>
              <w:jc w:val="center"/>
            </w:pPr>
            <w:r/>
            <w:r>
              <w:rPr>
                <w:rFonts w:ascii="Times New Roman" w:hAnsi="Times New Roman"/>
                <w:b w:val="0"/>
                <w:sz w:val="18"/>
              </w:rPr>
              <w:t>41.71</w:t>
            </w:r>
          </w:p>
        </w:tc>
        <w:tc>
          <w:tcPr>
            <w:tcW w:type="dxa" w:w="1134"/>
          </w:tcPr>
          <w:p>
            <w:pPr>
              <w:spacing w:before="20" w:after="20"/>
              <w:jc w:val="center"/>
            </w:pPr>
            <w:r/>
            <w:r>
              <w:rPr>
                <w:rFonts w:ascii="Times New Roman" w:hAnsi="Times New Roman"/>
                <w:b w:val="0"/>
                <w:sz w:val="18"/>
              </w:rPr>
              <w:t>+9.72</w:t>
            </w:r>
          </w:p>
        </w:tc>
      </w:tr>
      <w:tr>
        <w:tc>
          <w:tcPr>
            <w:tcW w:type="dxa" w:w="850"/>
          </w:tcPr>
          <w:p>
            <w:pPr>
              <w:spacing w:before="20" w:after="20"/>
              <w:jc w:val="center"/>
            </w:pPr>
            <w:r/>
            <w:r>
              <w:rPr>
                <w:rFonts w:ascii="Times New Roman" w:hAnsi="Times New Roman"/>
                <w:b w:val="0"/>
                <w:sz w:val="18"/>
              </w:rPr>
              <w:t>L06</w:t>
            </w:r>
          </w:p>
        </w:tc>
        <w:tc>
          <w:tcPr>
            <w:tcW w:type="dxa" w:w="1587"/>
          </w:tcPr>
          <w:p>
            <w:pPr>
              <w:spacing w:before="20" w:after="20"/>
              <w:jc w:val="center"/>
            </w:pPr>
            <w:r/>
            <w:r>
              <w:rPr>
                <w:rFonts w:ascii="Times New Roman" w:hAnsi="Times New Roman"/>
                <w:b w:val="0"/>
                <w:sz w:val="18"/>
              </w:rPr>
              <w:t>10863</w:t>
            </w:r>
          </w:p>
        </w:tc>
        <w:tc>
          <w:tcPr>
            <w:tcW w:type="dxa" w:w="1417"/>
          </w:tcPr>
          <w:p>
            <w:pPr>
              <w:spacing w:before="20" w:after="20"/>
              <w:jc w:val="center"/>
            </w:pPr>
            <w:r/>
            <w:r>
              <w:rPr>
                <w:rFonts w:ascii="Times New Roman" w:hAnsi="Times New Roman"/>
                <w:b w:val="0"/>
                <w:sz w:val="18"/>
              </w:rPr>
              <w:t>38.97</w:t>
            </w:r>
          </w:p>
        </w:tc>
        <w:tc>
          <w:tcPr>
            <w:tcW w:type="dxa" w:w="1417"/>
          </w:tcPr>
          <w:p>
            <w:pPr>
              <w:spacing w:before="20" w:after="20"/>
              <w:jc w:val="center"/>
            </w:pPr>
            <w:r/>
            <w:r>
              <w:rPr>
                <w:rFonts w:ascii="Times New Roman" w:hAnsi="Times New Roman"/>
                <w:b w:val="0"/>
                <w:sz w:val="18"/>
              </w:rPr>
              <w:t>40.96</w:t>
            </w:r>
          </w:p>
        </w:tc>
        <w:tc>
          <w:tcPr>
            <w:tcW w:type="dxa" w:w="1134"/>
          </w:tcPr>
          <w:p>
            <w:pPr>
              <w:spacing w:before="20" w:after="20"/>
              <w:jc w:val="center"/>
            </w:pPr>
            <w:r/>
            <w:r>
              <w:rPr>
                <w:rFonts w:ascii="Times New Roman" w:hAnsi="Times New Roman"/>
                <w:b w:val="0"/>
                <w:sz w:val="18"/>
              </w:rPr>
              <w:t>-1.99</w:t>
            </w:r>
          </w:p>
        </w:tc>
      </w:tr>
      <w:tr>
        <w:tc>
          <w:tcPr>
            <w:tcW w:type="dxa" w:w="850"/>
          </w:tcPr>
          <w:p>
            <w:pPr>
              <w:spacing w:before="20" w:after="20"/>
              <w:jc w:val="center"/>
            </w:pPr>
            <w:r/>
            <w:r>
              <w:rPr>
                <w:rFonts w:ascii="Times New Roman" w:hAnsi="Times New Roman"/>
                <w:b w:val="0"/>
                <w:sz w:val="18"/>
              </w:rPr>
              <w:t>L07</w:t>
            </w:r>
          </w:p>
        </w:tc>
        <w:tc>
          <w:tcPr>
            <w:tcW w:type="dxa" w:w="1587"/>
          </w:tcPr>
          <w:p>
            <w:pPr>
              <w:spacing w:before="20" w:after="20"/>
              <w:jc w:val="center"/>
            </w:pPr>
            <w:r/>
            <w:r>
              <w:rPr>
                <w:rFonts w:ascii="Times New Roman" w:hAnsi="Times New Roman"/>
                <w:b w:val="0"/>
                <w:sz w:val="18"/>
              </w:rPr>
              <w:t>25146</w:t>
            </w:r>
          </w:p>
        </w:tc>
        <w:tc>
          <w:tcPr>
            <w:tcW w:type="dxa" w:w="1417"/>
          </w:tcPr>
          <w:p>
            <w:pPr>
              <w:spacing w:before="20" w:after="20"/>
              <w:jc w:val="center"/>
            </w:pPr>
            <w:r/>
            <w:r>
              <w:rPr>
                <w:rFonts w:ascii="Times New Roman" w:hAnsi="Times New Roman"/>
                <w:b w:val="0"/>
                <w:sz w:val="18"/>
              </w:rPr>
              <w:t>22.41</w:t>
            </w:r>
          </w:p>
        </w:tc>
        <w:tc>
          <w:tcPr>
            <w:tcW w:type="dxa" w:w="1417"/>
          </w:tcPr>
          <w:p>
            <w:pPr>
              <w:spacing w:before="20" w:after="20"/>
              <w:jc w:val="center"/>
            </w:pPr>
            <w:r/>
            <w:r>
              <w:rPr>
                <w:rFonts w:ascii="Times New Roman" w:hAnsi="Times New Roman"/>
                <w:b w:val="0"/>
                <w:sz w:val="18"/>
              </w:rPr>
              <w:t>29.61</w:t>
            </w:r>
          </w:p>
        </w:tc>
        <w:tc>
          <w:tcPr>
            <w:tcW w:type="dxa" w:w="1134"/>
          </w:tcPr>
          <w:p>
            <w:pPr>
              <w:spacing w:before="20" w:after="20"/>
              <w:jc w:val="center"/>
            </w:pPr>
            <w:r/>
            <w:r>
              <w:rPr>
                <w:rFonts w:ascii="Times New Roman" w:hAnsi="Times New Roman"/>
                <w:b w:val="0"/>
                <w:sz w:val="18"/>
              </w:rPr>
              <w:t>-7.20</w:t>
            </w:r>
          </w:p>
        </w:tc>
      </w:tr>
      <w:tr>
        <w:tc>
          <w:tcPr>
            <w:tcW w:type="dxa" w:w="850"/>
          </w:tcPr>
          <w:p>
            <w:pPr>
              <w:spacing w:before="20" w:after="20"/>
              <w:jc w:val="center"/>
            </w:pPr>
            <w:r/>
            <w:r>
              <w:rPr>
                <w:rFonts w:ascii="Times New Roman" w:hAnsi="Times New Roman"/>
                <w:b w:val="0"/>
                <w:sz w:val="18"/>
              </w:rPr>
              <w:t>L08</w:t>
            </w:r>
          </w:p>
        </w:tc>
        <w:tc>
          <w:tcPr>
            <w:tcW w:type="dxa" w:w="1587"/>
          </w:tcPr>
          <w:p>
            <w:pPr>
              <w:spacing w:before="20" w:after="20"/>
              <w:jc w:val="center"/>
            </w:pPr>
            <w:r/>
            <w:r>
              <w:rPr>
                <w:rFonts w:ascii="Times New Roman" w:hAnsi="Times New Roman"/>
                <w:b w:val="0"/>
                <w:sz w:val="18"/>
              </w:rPr>
              <w:t>8936</w:t>
            </w:r>
          </w:p>
        </w:tc>
        <w:tc>
          <w:tcPr>
            <w:tcW w:type="dxa" w:w="1417"/>
          </w:tcPr>
          <w:p>
            <w:pPr>
              <w:spacing w:before="20" w:after="20"/>
              <w:jc w:val="center"/>
            </w:pPr>
            <w:r/>
            <w:r>
              <w:rPr>
                <w:rFonts w:ascii="Times New Roman" w:hAnsi="Times New Roman"/>
                <w:b w:val="0"/>
                <w:sz w:val="18"/>
              </w:rPr>
              <w:t>47.95</w:t>
            </w:r>
          </w:p>
        </w:tc>
        <w:tc>
          <w:tcPr>
            <w:tcW w:type="dxa" w:w="1417"/>
          </w:tcPr>
          <w:p>
            <w:pPr>
              <w:spacing w:before="20" w:after="20"/>
              <w:jc w:val="center"/>
            </w:pPr>
            <w:r/>
            <w:r>
              <w:rPr>
                <w:rFonts w:ascii="Times New Roman" w:hAnsi="Times New Roman"/>
                <w:b w:val="0"/>
                <w:sz w:val="18"/>
              </w:rPr>
              <w:t>42.49</w:t>
            </w:r>
          </w:p>
        </w:tc>
        <w:tc>
          <w:tcPr>
            <w:tcW w:type="dxa" w:w="1134"/>
          </w:tcPr>
          <w:p>
            <w:pPr>
              <w:spacing w:before="20" w:after="20"/>
              <w:jc w:val="center"/>
            </w:pPr>
            <w:r/>
            <w:r>
              <w:rPr>
                <w:rFonts w:ascii="Times New Roman" w:hAnsi="Times New Roman"/>
                <w:b w:val="0"/>
                <w:sz w:val="18"/>
              </w:rPr>
              <w:t>+5.46</w:t>
            </w:r>
          </w:p>
        </w:tc>
      </w:tr>
      <w:tr>
        <w:tc>
          <w:tcPr>
            <w:tcW w:type="dxa" w:w="850"/>
          </w:tcPr>
          <w:p>
            <w:pPr>
              <w:spacing w:before="20" w:after="20"/>
              <w:jc w:val="center"/>
            </w:pPr>
            <w:r/>
            <w:r>
              <w:rPr>
                <w:rFonts w:ascii="Times New Roman" w:hAnsi="Times New Roman"/>
                <w:b/>
                <w:sz w:val="18"/>
              </w:rPr>
              <w:t>L09</w:t>
            </w:r>
          </w:p>
        </w:tc>
        <w:tc>
          <w:tcPr>
            <w:tcW w:type="dxa" w:w="1587"/>
          </w:tcPr>
          <w:p>
            <w:pPr>
              <w:spacing w:before="20" w:after="20"/>
              <w:jc w:val="center"/>
            </w:pPr>
            <w:r/>
            <w:r>
              <w:rPr>
                <w:rFonts w:ascii="Times New Roman" w:hAnsi="Times New Roman"/>
                <w:b/>
                <w:sz w:val="18"/>
              </w:rPr>
              <w:t>11107</w:t>
            </w:r>
          </w:p>
        </w:tc>
        <w:tc>
          <w:tcPr>
            <w:tcW w:type="dxa" w:w="1417"/>
          </w:tcPr>
          <w:p>
            <w:pPr>
              <w:spacing w:before="20" w:after="20"/>
              <w:jc w:val="center"/>
            </w:pPr>
            <w:r/>
            <w:r>
              <w:rPr>
                <w:rFonts w:ascii="Times New Roman" w:hAnsi="Times New Roman"/>
                <w:b/>
                <w:sz w:val="18"/>
              </w:rPr>
              <w:t>42.68</w:t>
            </w:r>
          </w:p>
        </w:tc>
        <w:tc>
          <w:tcPr>
            <w:tcW w:type="dxa" w:w="1417"/>
          </w:tcPr>
          <w:p>
            <w:pPr>
              <w:spacing w:before="20" w:after="20"/>
              <w:jc w:val="center"/>
            </w:pPr>
            <w:r/>
            <w:r>
              <w:rPr>
                <w:rFonts w:ascii="Times New Roman" w:hAnsi="Times New Roman"/>
                <w:b/>
                <w:sz w:val="18"/>
              </w:rPr>
              <w:t>40.76</w:t>
            </w:r>
          </w:p>
        </w:tc>
        <w:tc>
          <w:tcPr>
            <w:tcW w:type="dxa" w:w="1134"/>
          </w:tcPr>
          <w:p>
            <w:pPr>
              <w:spacing w:before="20" w:after="20"/>
              <w:jc w:val="center"/>
            </w:pPr>
            <w:r/>
            <w:r>
              <w:rPr>
                <w:rFonts w:ascii="Times New Roman" w:hAnsi="Times New Roman"/>
                <w:b/>
                <w:sz w:val="18"/>
              </w:rPr>
              <w:t>+1.92</w:t>
            </w:r>
          </w:p>
        </w:tc>
      </w:tr>
    </w:tbl>
    <w:p/>
    <w:p>
      <w:pPr>
        <w:spacing w:after="120"/>
      </w:pPr>
      <w:r>
        <w:rPr>
          <w:rFonts w:ascii="Times New Roman" w:hAnsi="Times New Roman"/>
          <w:b/>
          <w:i w:val="0"/>
          <w:color w:val="B40000"/>
          <w:sz w:val="22"/>
        </w:rPr>
        <w:t>Table 5.4: CS vs Total PSD — Integrated Area [DECONVOLUTION PROOF]</w:t>
      </w:r>
    </w:p>
    <w:p>
      <w:pPr>
        <w:spacing w:after="120"/>
      </w:pPr>
      <w:r>
        <w:rPr>
          <w:rFonts w:ascii="Times New Roman" w:hAnsi="Times New Roman"/>
          <w:b w:val="0"/>
          <w:i/>
          <w:sz w:val="18"/>
        </w:rPr>
        <w:t>Regression: CS = 46.716 + -0.000497 × Total(IA); R² = 0.0281; r = -0.1676; 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50"/>
            <w:shd w:fill="003366"/>
          </w:tcPr>
          <w:p>
            <w:pPr>
              <w:spacing w:before="20" w:after="20"/>
              <w:jc w:val="center"/>
            </w:pPr>
            <w:r/>
            <w:r>
              <w:rPr>
                <w:rFonts w:ascii="Times New Roman" w:hAnsi="Times New Roman"/>
                <w:b/>
                <w:color w:val="FFFFFF"/>
                <w:sz w:val="18"/>
              </w:rPr>
              <w:t>Mix</w:t>
            </w:r>
          </w:p>
        </w:tc>
        <w:tc>
          <w:tcPr>
            <w:tcW w:type="dxa" w:w="1587"/>
            <w:shd w:fill="003366"/>
          </w:tcPr>
          <w:p>
            <w:pPr>
              <w:spacing w:before="20" w:after="20"/>
              <w:jc w:val="center"/>
            </w:pPr>
            <w:r/>
            <w:r>
              <w:rPr>
                <w:rFonts w:ascii="Times New Roman" w:hAnsi="Times New Roman"/>
                <w:b/>
                <w:color w:val="FFFFFF"/>
                <w:sz w:val="18"/>
              </w:rPr>
              <w:t>x = Total(IA)</w:t>
            </w:r>
          </w:p>
        </w:tc>
        <w:tc>
          <w:tcPr>
            <w:tcW w:type="dxa" w:w="1417"/>
            <w:shd w:fill="003366"/>
          </w:tcPr>
          <w:p>
            <w:pPr>
              <w:spacing w:before="20" w:after="20"/>
              <w:jc w:val="center"/>
            </w:pPr>
            <w:r/>
            <w:r>
              <w:rPr>
                <w:rFonts w:ascii="Times New Roman" w:hAnsi="Times New Roman"/>
                <w:b/>
                <w:color w:val="FFFFFF"/>
                <w:sz w:val="18"/>
              </w:rPr>
              <w:t>y = CS (MPa)</w:t>
            </w:r>
          </w:p>
        </w:tc>
        <w:tc>
          <w:tcPr>
            <w:tcW w:type="dxa" w:w="1417"/>
            <w:shd w:fill="003366"/>
          </w:tcPr>
          <w:p>
            <w:pPr>
              <w:spacing w:before="20" w:after="20"/>
              <w:jc w:val="center"/>
            </w:pPr>
            <w:r/>
            <w:r>
              <w:rPr>
                <w:rFonts w:ascii="Times New Roman" w:hAnsi="Times New Roman"/>
                <w:b/>
                <w:color w:val="FFFFFF"/>
                <w:sz w:val="18"/>
              </w:rPr>
              <w:t>CS_predicted</w:t>
            </w:r>
          </w:p>
        </w:tc>
        <w:tc>
          <w:tcPr>
            <w:tcW w:type="dxa" w:w="1134"/>
            <w:shd w:fill="003366"/>
          </w:tcPr>
          <w:p>
            <w:pPr>
              <w:spacing w:before="20" w:after="20"/>
              <w:jc w:val="center"/>
            </w:pPr>
            <w:r/>
            <w:r>
              <w:rPr>
                <w:rFonts w:ascii="Times New Roman" w:hAnsi="Times New Roman"/>
                <w:b/>
                <w:color w:val="FFFFFF"/>
                <w:sz w:val="18"/>
              </w:rPr>
              <w:t>Residual</w:t>
            </w:r>
          </w:p>
        </w:tc>
      </w:tr>
      <w:tr>
        <w:tc>
          <w:tcPr>
            <w:tcW w:type="dxa" w:w="850"/>
          </w:tcPr>
          <w:p>
            <w:pPr>
              <w:spacing w:before="20" w:after="20"/>
              <w:jc w:val="center"/>
            </w:pPr>
            <w:r/>
            <w:r>
              <w:rPr>
                <w:rFonts w:ascii="Times New Roman" w:hAnsi="Times New Roman"/>
                <w:b w:val="0"/>
                <w:sz w:val="18"/>
              </w:rPr>
              <w:t>L01</w:t>
            </w:r>
          </w:p>
        </w:tc>
        <w:tc>
          <w:tcPr>
            <w:tcW w:type="dxa" w:w="1587"/>
          </w:tcPr>
          <w:p>
            <w:pPr>
              <w:spacing w:before="20" w:after="20"/>
              <w:jc w:val="center"/>
            </w:pPr>
            <w:r/>
            <w:r>
              <w:rPr>
                <w:rFonts w:ascii="Times New Roman" w:hAnsi="Times New Roman"/>
                <w:b w:val="0"/>
                <w:sz w:val="18"/>
              </w:rPr>
              <w:t>12708.5</w:t>
            </w:r>
          </w:p>
        </w:tc>
        <w:tc>
          <w:tcPr>
            <w:tcW w:type="dxa" w:w="1417"/>
          </w:tcPr>
          <w:p>
            <w:pPr>
              <w:spacing w:before="20" w:after="20"/>
              <w:jc w:val="center"/>
            </w:pPr>
            <w:r/>
            <w:r>
              <w:rPr>
                <w:rFonts w:ascii="Times New Roman" w:hAnsi="Times New Roman"/>
                <w:b w:val="0"/>
                <w:sz w:val="18"/>
              </w:rPr>
              <w:t>15.34</w:t>
            </w:r>
          </w:p>
        </w:tc>
        <w:tc>
          <w:tcPr>
            <w:tcW w:type="dxa" w:w="1417"/>
          </w:tcPr>
          <w:p>
            <w:pPr>
              <w:spacing w:before="20" w:after="20"/>
              <w:jc w:val="center"/>
            </w:pPr>
            <w:r/>
            <w:r>
              <w:rPr>
                <w:rFonts w:ascii="Times New Roman" w:hAnsi="Times New Roman"/>
                <w:b w:val="0"/>
                <w:sz w:val="18"/>
              </w:rPr>
              <w:t>40.40</w:t>
            </w:r>
          </w:p>
        </w:tc>
        <w:tc>
          <w:tcPr>
            <w:tcW w:type="dxa" w:w="1134"/>
          </w:tcPr>
          <w:p>
            <w:pPr>
              <w:spacing w:before="20" w:after="20"/>
              <w:jc w:val="center"/>
            </w:pPr>
            <w:r/>
            <w:r>
              <w:rPr>
                <w:rFonts w:ascii="Times New Roman" w:hAnsi="Times New Roman"/>
                <w:b w:val="0"/>
                <w:sz w:val="18"/>
              </w:rPr>
              <w:t>-25.06</w:t>
            </w:r>
          </w:p>
        </w:tc>
      </w:tr>
      <w:tr>
        <w:tc>
          <w:tcPr>
            <w:tcW w:type="dxa" w:w="850"/>
          </w:tcPr>
          <w:p>
            <w:pPr>
              <w:spacing w:before="20" w:after="20"/>
              <w:jc w:val="center"/>
            </w:pPr>
            <w:r/>
            <w:r>
              <w:rPr>
                <w:rFonts w:ascii="Times New Roman" w:hAnsi="Times New Roman"/>
                <w:b w:val="0"/>
                <w:sz w:val="18"/>
              </w:rPr>
              <w:t>L02</w:t>
            </w:r>
          </w:p>
        </w:tc>
        <w:tc>
          <w:tcPr>
            <w:tcW w:type="dxa" w:w="1587"/>
          </w:tcPr>
          <w:p>
            <w:pPr>
              <w:spacing w:before="20" w:after="20"/>
              <w:jc w:val="center"/>
            </w:pPr>
            <w:r/>
            <w:r>
              <w:rPr>
                <w:rFonts w:ascii="Times New Roman" w:hAnsi="Times New Roman"/>
                <w:b w:val="0"/>
                <w:sz w:val="18"/>
              </w:rPr>
              <w:t>12079.8</w:t>
            </w:r>
          </w:p>
        </w:tc>
        <w:tc>
          <w:tcPr>
            <w:tcW w:type="dxa" w:w="1417"/>
          </w:tcPr>
          <w:p>
            <w:pPr>
              <w:spacing w:before="20" w:after="20"/>
              <w:jc w:val="center"/>
            </w:pPr>
            <w:r/>
            <w:r>
              <w:rPr>
                <w:rFonts w:ascii="Times New Roman" w:hAnsi="Times New Roman"/>
                <w:b w:val="0"/>
                <w:sz w:val="18"/>
              </w:rPr>
              <w:t>29.98</w:t>
            </w:r>
          </w:p>
        </w:tc>
        <w:tc>
          <w:tcPr>
            <w:tcW w:type="dxa" w:w="1417"/>
          </w:tcPr>
          <w:p>
            <w:pPr>
              <w:spacing w:before="20" w:after="20"/>
              <w:jc w:val="center"/>
            </w:pPr>
            <w:r/>
            <w:r>
              <w:rPr>
                <w:rFonts w:ascii="Times New Roman" w:hAnsi="Times New Roman"/>
                <w:b w:val="0"/>
                <w:sz w:val="18"/>
              </w:rPr>
              <w:t>40.72</w:t>
            </w:r>
          </w:p>
        </w:tc>
        <w:tc>
          <w:tcPr>
            <w:tcW w:type="dxa" w:w="1134"/>
          </w:tcPr>
          <w:p>
            <w:pPr>
              <w:spacing w:before="20" w:after="20"/>
              <w:jc w:val="center"/>
            </w:pPr>
            <w:r/>
            <w:r>
              <w:rPr>
                <w:rFonts w:ascii="Times New Roman" w:hAnsi="Times New Roman"/>
                <w:b w:val="0"/>
                <w:sz w:val="18"/>
              </w:rPr>
              <w:t>-10.74</w:t>
            </w:r>
          </w:p>
        </w:tc>
      </w:tr>
      <w:tr>
        <w:tc>
          <w:tcPr>
            <w:tcW w:type="dxa" w:w="850"/>
          </w:tcPr>
          <w:p>
            <w:pPr>
              <w:spacing w:before="20" w:after="20"/>
              <w:jc w:val="center"/>
            </w:pPr>
            <w:r/>
            <w:r>
              <w:rPr>
                <w:rFonts w:ascii="Times New Roman" w:hAnsi="Times New Roman"/>
                <w:b w:val="0"/>
                <w:sz w:val="18"/>
              </w:rPr>
              <w:t>L03</w:t>
            </w:r>
          </w:p>
        </w:tc>
        <w:tc>
          <w:tcPr>
            <w:tcW w:type="dxa" w:w="1587"/>
          </w:tcPr>
          <w:p>
            <w:pPr>
              <w:spacing w:before="20" w:after="20"/>
              <w:jc w:val="center"/>
            </w:pPr>
            <w:r/>
            <w:r>
              <w:rPr>
                <w:rFonts w:ascii="Times New Roman" w:hAnsi="Times New Roman"/>
                <w:b w:val="0"/>
                <w:sz w:val="18"/>
              </w:rPr>
              <w:t>20870.3</w:t>
            </w:r>
          </w:p>
        </w:tc>
        <w:tc>
          <w:tcPr>
            <w:tcW w:type="dxa" w:w="1417"/>
          </w:tcPr>
          <w:p>
            <w:pPr>
              <w:spacing w:before="20" w:after="20"/>
              <w:jc w:val="center"/>
            </w:pPr>
            <w:r/>
            <w:r>
              <w:rPr>
                <w:rFonts w:ascii="Times New Roman" w:hAnsi="Times New Roman"/>
                <w:b w:val="0"/>
                <w:sz w:val="18"/>
              </w:rPr>
              <w:t>52.53</w:t>
            </w:r>
          </w:p>
        </w:tc>
        <w:tc>
          <w:tcPr>
            <w:tcW w:type="dxa" w:w="1417"/>
          </w:tcPr>
          <w:p>
            <w:pPr>
              <w:spacing w:before="20" w:after="20"/>
              <w:jc w:val="center"/>
            </w:pPr>
            <w:r/>
            <w:r>
              <w:rPr>
                <w:rFonts w:ascii="Times New Roman" w:hAnsi="Times New Roman"/>
                <w:b w:val="0"/>
                <w:sz w:val="18"/>
              </w:rPr>
              <w:t>36.35</w:t>
            </w:r>
          </w:p>
        </w:tc>
        <w:tc>
          <w:tcPr>
            <w:tcW w:type="dxa" w:w="1134"/>
          </w:tcPr>
          <w:p>
            <w:pPr>
              <w:spacing w:before="20" w:after="20"/>
              <w:jc w:val="center"/>
            </w:pPr>
            <w:r/>
            <w:r>
              <w:rPr>
                <w:rFonts w:ascii="Times New Roman" w:hAnsi="Times New Roman"/>
                <w:b w:val="0"/>
                <w:sz w:val="18"/>
              </w:rPr>
              <w:t>+16.18</w:t>
            </w:r>
          </w:p>
        </w:tc>
      </w:tr>
      <w:tr>
        <w:tc>
          <w:tcPr>
            <w:tcW w:type="dxa" w:w="850"/>
          </w:tcPr>
          <w:p>
            <w:pPr>
              <w:spacing w:before="20" w:after="20"/>
              <w:jc w:val="center"/>
            </w:pPr>
            <w:r/>
            <w:r>
              <w:rPr>
                <w:rFonts w:ascii="Times New Roman" w:hAnsi="Times New Roman"/>
                <w:b w:val="0"/>
                <w:sz w:val="18"/>
              </w:rPr>
              <w:t>L04</w:t>
            </w:r>
          </w:p>
        </w:tc>
        <w:tc>
          <w:tcPr>
            <w:tcW w:type="dxa" w:w="1587"/>
          </w:tcPr>
          <w:p>
            <w:pPr>
              <w:spacing w:before="20" w:after="20"/>
              <w:jc w:val="center"/>
            </w:pPr>
            <w:r/>
            <w:r>
              <w:rPr>
                <w:rFonts w:ascii="Times New Roman" w:hAnsi="Times New Roman"/>
                <w:b w:val="0"/>
                <w:sz w:val="18"/>
              </w:rPr>
              <w:t>13112.6</w:t>
            </w:r>
          </w:p>
        </w:tc>
        <w:tc>
          <w:tcPr>
            <w:tcW w:type="dxa" w:w="1417"/>
          </w:tcPr>
          <w:p>
            <w:pPr>
              <w:spacing w:before="20" w:after="20"/>
              <w:jc w:val="center"/>
            </w:pPr>
            <w:r/>
            <w:r>
              <w:rPr>
                <w:rFonts w:ascii="Times New Roman" w:hAnsi="Times New Roman"/>
                <w:b w:val="0"/>
                <w:sz w:val="18"/>
              </w:rPr>
              <w:t>51.62</w:t>
            </w:r>
          </w:p>
        </w:tc>
        <w:tc>
          <w:tcPr>
            <w:tcW w:type="dxa" w:w="1417"/>
          </w:tcPr>
          <w:p>
            <w:pPr>
              <w:spacing w:before="20" w:after="20"/>
              <w:jc w:val="center"/>
            </w:pPr>
            <w:r/>
            <w:r>
              <w:rPr>
                <w:rFonts w:ascii="Times New Roman" w:hAnsi="Times New Roman"/>
                <w:b w:val="0"/>
                <w:sz w:val="18"/>
              </w:rPr>
              <w:t>40.20</w:t>
            </w:r>
          </w:p>
        </w:tc>
        <w:tc>
          <w:tcPr>
            <w:tcW w:type="dxa" w:w="1134"/>
          </w:tcPr>
          <w:p>
            <w:pPr>
              <w:spacing w:before="20" w:after="20"/>
              <w:jc w:val="center"/>
            </w:pPr>
            <w:r/>
            <w:r>
              <w:rPr>
                <w:rFonts w:ascii="Times New Roman" w:hAnsi="Times New Roman"/>
                <w:b w:val="0"/>
                <w:sz w:val="18"/>
              </w:rPr>
              <w:t>+11.42</w:t>
            </w:r>
          </w:p>
        </w:tc>
      </w:tr>
      <w:tr>
        <w:tc>
          <w:tcPr>
            <w:tcW w:type="dxa" w:w="850"/>
          </w:tcPr>
          <w:p>
            <w:pPr>
              <w:spacing w:before="20" w:after="20"/>
              <w:jc w:val="center"/>
            </w:pPr>
            <w:r/>
            <w:r>
              <w:rPr>
                <w:rFonts w:ascii="Times New Roman" w:hAnsi="Times New Roman"/>
                <w:b w:val="0"/>
                <w:sz w:val="18"/>
              </w:rPr>
              <w:t>L05</w:t>
            </w:r>
          </w:p>
        </w:tc>
        <w:tc>
          <w:tcPr>
            <w:tcW w:type="dxa" w:w="1587"/>
          </w:tcPr>
          <w:p>
            <w:pPr>
              <w:spacing w:before="20" w:after="20"/>
              <w:jc w:val="center"/>
            </w:pPr>
            <w:r/>
            <w:r>
              <w:rPr>
                <w:rFonts w:ascii="Times New Roman" w:hAnsi="Times New Roman"/>
                <w:b w:val="0"/>
                <w:sz w:val="18"/>
              </w:rPr>
              <w:t>13222.2</w:t>
            </w:r>
          </w:p>
        </w:tc>
        <w:tc>
          <w:tcPr>
            <w:tcW w:type="dxa" w:w="1417"/>
          </w:tcPr>
          <w:p>
            <w:pPr>
              <w:spacing w:before="20" w:after="20"/>
              <w:jc w:val="center"/>
            </w:pPr>
            <w:r/>
            <w:r>
              <w:rPr>
                <w:rFonts w:ascii="Times New Roman" w:hAnsi="Times New Roman"/>
                <w:b w:val="0"/>
                <w:sz w:val="18"/>
              </w:rPr>
              <w:t>51.43</w:t>
            </w:r>
          </w:p>
        </w:tc>
        <w:tc>
          <w:tcPr>
            <w:tcW w:type="dxa" w:w="1417"/>
          </w:tcPr>
          <w:p>
            <w:pPr>
              <w:spacing w:before="20" w:after="20"/>
              <w:jc w:val="center"/>
            </w:pPr>
            <w:r/>
            <w:r>
              <w:rPr>
                <w:rFonts w:ascii="Times New Roman" w:hAnsi="Times New Roman"/>
                <w:b w:val="0"/>
                <w:sz w:val="18"/>
              </w:rPr>
              <w:t>40.15</w:t>
            </w:r>
          </w:p>
        </w:tc>
        <w:tc>
          <w:tcPr>
            <w:tcW w:type="dxa" w:w="1134"/>
          </w:tcPr>
          <w:p>
            <w:pPr>
              <w:spacing w:before="20" w:after="20"/>
              <w:jc w:val="center"/>
            </w:pPr>
            <w:r/>
            <w:r>
              <w:rPr>
                <w:rFonts w:ascii="Times New Roman" w:hAnsi="Times New Roman"/>
                <w:b w:val="0"/>
                <w:sz w:val="18"/>
              </w:rPr>
              <w:t>+11.28</w:t>
            </w:r>
          </w:p>
        </w:tc>
      </w:tr>
      <w:tr>
        <w:tc>
          <w:tcPr>
            <w:tcW w:type="dxa" w:w="850"/>
          </w:tcPr>
          <w:p>
            <w:pPr>
              <w:spacing w:before="20" w:after="20"/>
              <w:jc w:val="center"/>
            </w:pPr>
            <w:r/>
            <w:r>
              <w:rPr>
                <w:rFonts w:ascii="Times New Roman" w:hAnsi="Times New Roman"/>
                <w:b w:val="0"/>
                <w:sz w:val="18"/>
              </w:rPr>
              <w:t>L06</w:t>
            </w:r>
          </w:p>
        </w:tc>
        <w:tc>
          <w:tcPr>
            <w:tcW w:type="dxa" w:w="1587"/>
          </w:tcPr>
          <w:p>
            <w:pPr>
              <w:spacing w:before="20" w:after="20"/>
              <w:jc w:val="center"/>
            </w:pPr>
            <w:r/>
            <w:r>
              <w:rPr>
                <w:rFonts w:ascii="Times New Roman" w:hAnsi="Times New Roman"/>
                <w:b w:val="0"/>
                <w:sz w:val="18"/>
              </w:rPr>
              <w:t>13108.8</w:t>
            </w:r>
          </w:p>
        </w:tc>
        <w:tc>
          <w:tcPr>
            <w:tcW w:type="dxa" w:w="1417"/>
          </w:tcPr>
          <w:p>
            <w:pPr>
              <w:spacing w:before="20" w:after="20"/>
              <w:jc w:val="center"/>
            </w:pPr>
            <w:r/>
            <w:r>
              <w:rPr>
                <w:rFonts w:ascii="Times New Roman" w:hAnsi="Times New Roman"/>
                <w:b w:val="0"/>
                <w:sz w:val="18"/>
              </w:rPr>
              <w:t>38.97</w:t>
            </w:r>
          </w:p>
        </w:tc>
        <w:tc>
          <w:tcPr>
            <w:tcW w:type="dxa" w:w="1417"/>
          </w:tcPr>
          <w:p>
            <w:pPr>
              <w:spacing w:before="20" w:after="20"/>
              <w:jc w:val="center"/>
            </w:pPr>
            <w:r/>
            <w:r>
              <w:rPr>
                <w:rFonts w:ascii="Times New Roman" w:hAnsi="Times New Roman"/>
                <w:b w:val="0"/>
                <w:sz w:val="18"/>
              </w:rPr>
              <w:t>40.20</w:t>
            </w:r>
          </w:p>
        </w:tc>
        <w:tc>
          <w:tcPr>
            <w:tcW w:type="dxa" w:w="1134"/>
          </w:tcPr>
          <w:p>
            <w:pPr>
              <w:spacing w:before="20" w:after="20"/>
              <w:jc w:val="center"/>
            </w:pPr>
            <w:r/>
            <w:r>
              <w:rPr>
                <w:rFonts w:ascii="Times New Roman" w:hAnsi="Times New Roman"/>
                <w:b w:val="0"/>
                <w:sz w:val="18"/>
              </w:rPr>
              <w:t>-1.23</w:t>
            </w:r>
          </w:p>
        </w:tc>
      </w:tr>
      <w:tr>
        <w:tc>
          <w:tcPr>
            <w:tcW w:type="dxa" w:w="850"/>
          </w:tcPr>
          <w:p>
            <w:pPr>
              <w:spacing w:before="20" w:after="20"/>
              <w:jc w:val="center"/>
            </w:pPr>
            <w:r/>
            <w:r>
              <w:rPr>
                <w:rFonts w:ascii="Times New Roman" w:hAnsi="Times New Roman"/>
                <w:b w:val="0"/>
                <w:sz w:val="18"/>
              </w:rPr>
              <w:t>L07</w:t>
            </w:r>
          </w:p>
        </w:tc>
        <w:tc>
          <w:tcPr>
            <w:tcW w:type="dxa" w:w="1587"/>
          </w:tcPr>
          <w:p>
            <w:pPr>
              <w:spacing w:before="20" w:after="20"/>
              <w:jc w:val="center"/>
            </w:pPr>
            <w:r/>
            <w:r>
              <w:rPr>
                <w:rFonts w:ascii="Times New Roman" w:hAnsi="Times New Roman"/>
                <w:b w:val="0"/>
                <w:sz w:val="18"/>
              </w:rPr>
              <w:t>25146.0</w:t>
            </w:r>
          </w:p>
        </w:tc>
        <w:tc>
          <w:tcPr>
            <w:tcW w:type="dxa" w:w="1417"/>
          </w:tcPr>
          <w:p>
            <w:pPr>
              <w:spacing w:before="20" w:after="20"/>
              <w:jc w:val="center"/>
            </w:pPr>
            <w:r/>
            <w:r>
              <w:rPr>
                <w:rFonts w:ascii="Times New Roman" w:hAnsi="Times New Roman"/>
                <w:b w:val="0"/>
                <w:sz w:val="18"/>
              </w:rPr>
              <w:t>22.41</w:t>
            </w:r>
          </w:p>
        </w:tc>
        <w:tc>
          <w:tcPr>
            <w:tcW w:type="dxa" w:w="1417"/>
          </w:tcPr>
          <w:p>
            <w:pPr>
              <w:spacing w:before="20" w:after="20"/>
              <w:jc w:val="center"/>
            </w:pPr>
            <w:r/>
            <w:r>
              <w:rPr>
                <w:rFonts w:ascii="Times New Roman" w:hAnsi="Times New Roman"/>
                <w:b w:val="0"/>
                <w:sz w:val="18"/>
              </w:rPr>
              <w:t>34.23</w:t>
            </w:r>
          </w:p>
        </w:tc>
        <w:tc>
          <w:tcPr>
            <w:tcW w:type="dxa" w:w="1134"/>
          </w:tcPr>
          <w:p>
            <w:pPr>
              <w:spacing w:before="20" w:after="20"/>
              <w:jc w:val="center"/>
            </w:pPr>
            <w:r/>
            <w:r>
              <w:rPr>
                <w:rFonts w:ascii="Times New Roman" w:hAnsi="Times New Roman"/>
                <w:b w:val="0"/>
                <w:sz w:val="18"/>
              </w:rPr>
              <w:t>-11.82</w:t>
            </w:r>
          </w:p>
        </w:tc>
      </w:tr>
      <w:tr>
        <w:tc>
          <w:tcPr>
            <w:tcW w:type="dxa" w:w="850"/>
          </w:tcPr>
          <w:p>
            <w:pPr>
              <w:spacing w:before="20" w:after="20"/>
              <w:jc w:val="center"/>
            </w:pPr>
            <w:r/>
            <w:r>
              <w:rPr>
                <w:rFonts w:ascii="Times New Roman" w:hAnsi="Times New Roman"/>
                <w:b w:val="0"/>
                <w:sz w:val="18"/>
              </w:rPr>
              <w:t>L08</w:t>
            </w:r>
          </w:p>
        </w:tc>
        <w:tc>
          <w:tcPr>
            <w:tcW w:type="dxa" w:w="1587"/>
          </w:tcPr>
          <w:p>
            <w:pPr>
              <w:spacing w:before="20" w:after="20"/>
              <w:jc w:val="center"/>
            </w:pPr>
            <w:r/>
            <w:r>
              <w:rPr>
                <w:rFonts w:ascii="Times New Roman" w:hAnsi="Times New Roman"/>
                <w:b w:val="0"/>
                <w:sz w:val="18"/>
              </w:rPr>
              <w:t>12144.1</w:t>
            </w:r>
          </w:p>
        </w:tc>
        <w:tc>
          <w:tcPr>
            <w:tcW w:type="dxa" w:w="1417"/>
          </w:tcPr>
          <w:p>
            <w:pPr>
              <w:spacing w:before="20" w:after="20"/>
              <w:jc w:val="center"/>
            </w:pPr>
            <w:r/>
            <w:r>
              <w:rPr>
                <w:rFonts w:ascii="Times New Roman" w:hAnsi="Times New Roman"/>
                <w:b w:val="0"/>
                <w:sz w:val="18"/>
              </w:rPr>
              <w:t>47.95</w:t>
            </w:r>
          </w:p>
        </w:tc>
        <w:tc>
          <w:tcPr>
            <w:tcW w:type="dxa" w:w="1417"/>
          </w:tcPr>
          <w:p>
            <w:pPr>
              <w:spacing w:before="20" w:after="20"/>
              <w:jc w:val="center"/>
            </w:pPr>
            <w:r/>
            <w:r>
              <w:rPr>
                <w:rFonts w:ascii="Times New Roman" w:hAnsi="Times New Roman"/>
                <w:b w:val="0"/>
                <w:sz w:val="18"/>
              </w:rPr>
              <w:t>40.68</w:t>
            </w:r>
          </w:p>
        </w:tc>
        <w:tc>
          <w:tcPr>
            <w:tcW w:type="dxa" w:w="1134"/>
          </w:tcPr>
          <w:p>
            <w:pPr>
              <w:spacing w:before="20" w:after="20"/>
              <w:jc w:val="center"/>
            </w:pPr>
            <w:r/>
            <w:r>
              <w:rPr>
                <w:rFonts w:ascii="Times New Roman" w:hAnsi="Times New Roman"/>
                <w:b w:val="0"/>
                <w:sz w:val="18"/>
              </w:rPr>
              <w:t>+7.27</w:t>
            </w:r>
          </w:p>
        </w:tc>
      </w:tr>
      <w:tr>
        <w:tc>
          <w:tcPr>
            <w:tcW w:type="dxa" w:w="850"/>
          </w:tcPr>
          <w:p>
            <w:pPr>
              <w:spacing w:before="20" w:after="20"/>
              <w:jc w:val="center"/>
            </w:pPr>
            <w:r/>
            <w:r>
              <w:rPr>
                <w:rFonts w:ascii="Times New Roman" w:hAnsi="Times New Roman"/>
                <w:b/>
                <w:sz w:val="18"/>
              </w:rPr>
              <w:t>L09</w:t>
            </w:r>
          </w:p>
        </w:tc>
        <w:tc>
          <w:tcPr>
            <w:tcW w:type="dxa" w:w="1587"/>
          </w:tcPr>
          <w:p>
            <w:pPr>
              <w:spacing w:before="20" w:after="20"/>
              <w:jc w:val="center"/>
            </w:pPr>
            <w:r/>
            <w:r>
              <w:rPr>
                <w:rFonts w:ascii="Times New Roman" w:hAnsi="Times New Roman"/>
                <w:b/>
                <w:sz w:val="18"/>
              </w:rPr>
              <w:t>13575.8</w:t>
            </w:r>
          </w:p>
        </w:tc>
        <w:tc>
          <w:tcPr>
            <w:tcW w:type="dxa" w:w="1417"/>
          </w:tcPr>
          <w:p>
            <w:pPr>
              <w:spacing w:before="20" w:after="20"/>
              <w:jc w:val="center"/>
            </w:pPr>
            <w:r/>
            <w:r>
              <w:rPr>
                <w:rFonts w:ascii="Times New Roman" w:hAnsi="Times New Roman"/>
                <w:b/>
                <w:sz w:val="18"/>
              </w:rPr>
              <w:t>42.68</w:t>
            </w:r>
          </w:p>
        </w:tc>
        <w:tc>
          <w:tcPr>
            <w:tcW w:type="dxa" w:w="1417"/>
          </w:tcPr>
          <w:p>
            <w:pPr>
              <w:spacing w:before="20" w:after="20"/>
              <w:jc w:val="center"/>
            </w:pPr>
            <w:r/>
            <w:r>
              <w:rPr>
                <w:rFonts w:ascii="Times New Roman" w:hAnsi="Times New Roman"/>
                <w:b/>
                <w:sz w:val="18"/>
              </w:rPr>
              <w:t>39.97</w:t>
            </w:r>
          </w:p>
        </w:tc>
        <w:tc>
          <w:tcPr>
            <w:tcW w:type="dxa" w:w="1134"/>
          </w:tcPr>
          <w:p>
            <w:pPr>
              <w:spacing w:before="20" w:after="20"/>
              <w:jc w:val="center"/>
            </w:pPr>
            <w:r/>
            <w:r>
              <w:rPr>
                <w:rFonts w:ascii="Times New Roman" w:hAnsi="Times New Roman"/>
                <w:b/>
                <w:sz w:val="18"/>
              </w:rPr>
              <w:t>+2.71</w:t>
            </w:r>
          </w:p>
        </w:tc>
      </w:tr>
    </w:tbl>
    <w:p/>
    <w:p>
      <w:pPr>
        <w:spacing w:after="120"/>
      </w:pPr>
      <w:r>
        <w:rPr>
          <w:rFonts w:ascii="Times New Roman" w:hAnsi="Times New Roman"/>
          <w:b w:val="0"/>
          <w:i/>
          <w:color w:val="B40000"/>
          <w:sz w:val="18"/>
        </w:rPr>
        <w:t>CRITICAL FINDING: R² = 0.028 means Total PSD explains only 2.8% of strength variance. This is because the crystalline and amorphous signals are anti-correlated (r = -0.770) and cancel when summed. Without phase deconvolution, XRD data would falsely appear to have no predictive value for strength. The PSD methodology recovers the hidden r = +0.81.</w:t>
      </w:r>
    </w:p>
    <w:p>
      <w:pPr>
        <w:spacing w:after="120"/>
      </w:pPr>
      <w:r>
        <w:rPr>
          <w:rFonts w:ascii="Times New Roman" w:hAnsi="Times New Roman"/>
          <w:b/>
          <w:i w:val="0"/>
          <w:sz w:val="22"/>
        </w:rPr>
        <w:t>Table 5.5: CS vs Total PSD — Peak Intensity</w:t>
      </w:r>
    </w:p>
    <w:p>
      <w:pPr>
        <w:spacing w:after="120"/>
      </w:pPr>
      <w:r>
        <w:rPr>
          <w:rFonts w:ascii="Times New Roman" w:hAnsi="Times New Roman"/>
          <w:b w:val="0"/>
          <w:i/>
          <w:sz w:val="18"/>
        </w:rPr>
        <w:t>Regression: CS = 38.861 + 0.000191 × Total(PI); R² = 0.0001; r = +0.0076; 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50"/>
            <w:shd w:fill="003366"/>
          </w:tcPr>
          <w:p>
            <w:pPr>
              <w:spacing w:before="20" w:after="20"/>
              <w:jc w:val="center"/>
            </w:pPr>
            <w:r/>
            <w:r>
              <w:rPr>
                <w:rFonts w:ascii="Times New Roman" w:hAnsi="Times New Roman"/>
                <w:b/>
                <w:color w:val="FFFFFF"/>
                <w:sz w:val="18"/>
              </w:rPr>
              <w:t>Mix</w:t>
            </w:r>
          </w:p>
        </w:tc>
        <w:tc>
          <w:tcPr>
            <w:tcW w:type="dxa" w:w="1587"/>
            <w:shd w:fill="003366"/>
          </w:tcPr>
          <w:p>
            <w:pPr>
              <w:spacing w:before="20" w:after="20"/>
              <w:jc w:val="center"/>
            </w:pPr>
            <w:r/>
            <w:r>
              <w:rPr>
                <w:rFonts w:ascii="Times New Roman" w:hAnsi="Times New Roman"/>
                <w:b/>
                <w:color w:val="FFFFFF"/>
                <w:sz w:val="18"/>
              </w:rPr>
              <w:t>x = Total(PI)</w:t>
            </w:r>
          </w:p>
        </w:tc>
        <w:tc>
          <w:tcPr>
            <w:tcW w:type="dxa" w:w="1417"/>
            <w:shd w:fill="003366"/>
          </w:tcPr>
          <w:p>
            <w:pPr>
              <w:spacing w:before="20" w:after="20"/>
              <w:jc w:val="center"/>
            </w:pPr>
            <w:r/>
            <w:r>
              <w:rPr>
                <w:rFonts w:ascii="Times New Roman" w:hAnsi="Times New Roman"/>
                <w:b/>
                <w:color w:val="FFFFFF"/>
                <w:sz w:val="18"/>
              </w:rPr>
              <w:t>y = CS (MPa)</w:t>
            </w:r>
          </w:p>
        </w:tc>
        <w:tc>
          <w:tcPr>
            <w:tcW w:type="dxa" w:w="1417"/>
            <w:shd w:fill="003366"/>
          </w:tcPr>
          <w:p>
            <w:pPr>
              <w:spacing w:before="20" w:after="20"/>
              <w:jc w:val="center"/>
            </w:pPr>
            <w:r/>
            <w:r>
              <w:rPr>
                <w:rFonts w:ascii="Times New Roman" w:hAnsi="Times New Roman"/>
                <w:b/>
                <w:color w:val="FFFFFF"/>
                <w:sz w:val="18"/>
              </w:rPr>
              <w:t>CS_predicted</w:t>
            </w:r>
          </w:p>
        </w:tc>
        <w:tc>
          <w:tcPr>
            <w:tcW w:type="dxa" w:w="1134"/>
            <w:shd w:fill="003366"/>
          </w:tcPr>
          <w:p>
            <w:pPr>
              <w:spacing w:before="20" w:after="20"/>
              <w:jc w:val="center"/>
            </w:pPr>
            <w:r/>
            <w:r>
              <w:rPr>
                <w:rFonts w:ascii="Times New Roman" w:hAnsi="Times New Roman"/>
                <w:b/>
                <w:color w:val="FFFFFF"/>
                <w:sz w:val="18"/>
              </w:rPr>
              <w:t>Residual</w:t>
            </w:r>
          </w:p>
        </w:tc>
      </w:tr>
      <w:tr>
        <w:tc>
          <w:tcPr>
            <w:tcW w:type="dxa" w:w="850"/>
          </w:tcPr>
          <w:p>
            <w:pPr>
              <w:spacing w:before="20" w:after="20"/>
              <w:jc w:val="center"/>
            </w:pPr>
            <w:r/>
            <w:r>
              <w:rPr>
                <w:rFonts w:ascii="Times New Roman" w:hAnsi="Times New Roman"/>
                <w:b w:val="0"/>
                <w:sz w:val="18"/>
              </w:rPr>
              <w:t>L01</w:t>
            </w:r>
          </w:p>
        </w:tc>
        <w:tc>
          <w:tcPr>
            <w:tcW w:type="dxa" w:w="1587"/>
          </w:tcPr>
          <w:p>
            <w:pPr>
              <w:spacing w:before="20" w:after="20"/>
              <w:jc w:val="center"/>
            </w:pPr>
            <w:r/>
            <w:r>
              <w:rPr>
                <w:rFonts w:ascii="Times New Roman" w:hAnsi="Times New Roman"/>
                <w:b w:val="0"/>
                <w:sz w:val="18"/>
              </w:rPr>
              <w:t>1384.1</w:t>
            </w:r>
          </w:p>
        </w:tc>
        <w:tc>
          <w:tcPr>
            <w:tcW w:type="dxa" w:w="1417"/>
          </w:tcPr>
          <w:p>
            <w:pPr>
              <w:spacing w:before="20" w:after="20"/>
              <w:jc w:val="center"/>
            </w:pPr>
            <w:r/>
            <w:r>
              <w:rPr>
                <w:rFonts w:ascii="Times New Roman" w:hAnsi="Times New Roman"/>
                <w:b w:val="0"/>
                <w:sz w:val="18"/>
              </w:rPr>
              <w:t>15.34</w:t>
            </w:r>
          </w:p>
        </w:tc>
        <w:tc>
          <w:tcPr>
            <w:tcW w:type="dxa" w:w="1417"/>
          </w:tcPr>
          <w:p>
            <w:pPr>
              <w:spacing w:before="20" w:after="20"/>
              <w:jc w:val="center"/>
            </w:pPr>
            <w:r/>
            <w:r>
              <w:rPr>
                <w:rFonts w:ascii="Times New Roman" w:hAnsi="Times New Roman"/>
                <w:b w:val="0"/>
                <w:sz w:val="18"/>
              </w:rPr>
              <w:t>39.13</w:t>
            </w:r>
          </w:p>
        </w:tc>
        <w:tc>
          <w:tcPr>
            <w:tcW w:type="dxa" w:w="1134"/>
          </w:tcPr>
          <w:p>
            <w:pPr>
              <w:spacing w:before="20" w:after="20"/>
              <w:jc w:val="center"/>
            </w:pPr>
            <w:r/>
            <w:r>
              <w:rPr>
                <w:rFonts w:ascii="Times New Roman" w:hAnsi="Times New Roman"/>
                <w:b w:val="0"/>
                <w:sz w:val="18"/>
              </w:rPr>
              <w:t>-23.79</w:t>
            </w:r>
          </w:p>
        </w:tc>
      </w:tr>
      <w:tr>
        <w:tc>
          <w:tcPr>
            <w:tcW w:type="dxa" w:w="850"/>
          </w:tcPr>
          <w:p>
            <w:pPr>
              <w:spacing w:before="20" w:after="20"/>
              <w:jc w:val="center"/>
            </w:pPr>
            <w:r/>
            <w:r>
              <w:rPr>
                <w:rFonts w:ascii="Times New Roman" w:hAnsi="Times New Roman"/>
                <w:b w:val="0"/>
                <w:sz w:val="18"/>
              </w:rPr>
              <w:t>L02</w:t>
            </w:r>
          </w:p>
        </w:tc>
        <w:tc>
          <w:tcPr>
            <w:tcW w:type="dxa" w:w="1587"/>
          </w:tcPr>
          <w:p>
            <w:pPr>
              <w:spacing w:before="20" w:after="20"/>
              <w:jc w:val="center"/>
            </w:pPr>
            <w:r/>
            <w:r>
              <w:rPr>
                <w:rFonts w:ascii="Times New Roman" w:hAnsi="Times New Roman"/>
                <w:b w:val="0"/>
                <w:sz w:val="18"/>
              </w:rPr>
              <w:t>1455.3</w:t>
            </w:r>
          </w:p>
        </w:tc>
        <w:tc>
          <w:tcPr>
            <w:tcW w:type="dxa" w:w="1417"/>
          </w:tcPr>
          <w:p>
            <w:pPr>
              <w:spacing w:before="20" w:after="20"/>
              <w:jc w:val="center"/>
            </w:pPr>
            <w:r/>
            <w:r>
              <w:rPr>
                <w:rFonts w:ascii="Times New Roman" w:hAnsi="Times New Roman"/>
                <w:b w:val="0"/>
                <w:sz w:val="18"/>
              </w:rPr>
              <w:t>29.98</w:t>
            </w:r>
          </w:p>
        </w:tc>
        <w:tc>
          <w:tcPr>
            <w:tcW w:type="dxa" w:w="1417"/>
          </w:tcPr>
          <w:p>
            <w:pPr>
              <w:spacing w:before="20" w:after="20"/>
              <w:jc w:val="center"/>
            </w:pPr>
            <w:r/>
            <w:r>
              <w:rPr>
                <w:rFonts w:ascii="Times New Roman" w:hAnsi="Times New Roman"/>
                <w:b w:val="0"/>
                <w:sz w:val="18"/>
              </w:rPr>
              <w:t>39.14</w:t>
            </w:r>
          </w:p>
        </w:tc>
        <w:tc>
          <w:tcPr>
            <w:tcW w:type="dxa" w:w="1134"/>
          </w:tcPr>
          <w:p>
            <w:pPr>
              <w:spacing w:before="20" w:after="20"/>
              <w:jc w:val="center"/>
            </w:pPr>
            <w:r/>
            <w:r>
              <w:rPr>
                <w:rFonts w:ascii="Times New Roman" w:hAnsi="Times New Roman"/>
                <w:b w:val="0"/>
                <w:sz w:val="18"/>
              </w:rPr>
              <w:t>-9.16</w:t>
            </w:r>
          </w:p>
        </w:tc>
      </w:tr>
      <w:tr>
        <w:tc>
          <w:tcPr>
            <w:tcW w:type="dxa" w:w="850"/>
          </w:tcPr>
          <w:p>
            <w:pPr>
              <w:spacing w:before="20" w:after="20"/>
              <w:jc w:val="center"/>
            </w:pPr>
            <w:r/>
            <w:r>
              <w:rPr>
                <w:rFonts w:ascii="Times New Roman" w:hAnsi="Times New Roman"/>
                <w:b w:val="0"/>
                <w:sz w:val="18"/>
              </w:rPr>
              <w:t>L03</w:t>
            </w:r>
          </w:p>
        </w:tc>
        <w:tc>
          <w:tcPr>
            <w:tcW w:type="dxa" w:w="1587"/>
          </w:tcPr>
          <w:p>
            <w:pPr>
              <w:spacing w:before="20" w:after="20"/>
              <w:jc w:val="center"/>
            </w:pPr>
            <w:r/>
            <w:r>
              <w:rPr>
                <w:rFonts w:ascii="Times New Roman" w:hAnsi="Times New Roman"/>
                <w:b w:val="0"/>
                <w:sz w:val="18"/>
              </w:rPr>
              <w:t>2676.5</w:t>
            </w:r>
          </w:p>
        </w:tc>
        <w:tc>
          <w:tcPr>
            <w:tcW w:type="dxa" w:w="1417"/>
          </w:tcPr>
          <w:p>
            <w:pPr>
              <w:spacing w:before="20" w:after="20"/>
              <w:jc w:val="center"/>
            </w:pPr>
            <w:r/>
            <w:r>
              <w:rPr>
                <w:rFonts w:ascii="Times New Roman" w:hAnsi="Times New Roman"/>
                <w:b w:val="0"/>
                <w:sz w:val="18"/>
              </w:rPr>
              <w:t>52.53</w:t>
            </w:r>
          </w:p>
        </w:tc>
        <w:tc>
          <w:tcPr>
            <w:tcW w:type="dxa" w:w="1417"/>
          </w:tcPr>
          <w:p>
            <w:pPr>
              <w:spacing w:before="20" w:after="20"/>
              <w:jc w:val="center"/>
            </w:pPr>
            <w:r/>
            <w:r>
              <w:rPr>
                <w:rFonts w:ascii="Times New Roman" w:hAnsi="Times New Roman"/>
                <w:b w:val="0"/>
                <w:sz w:val="18"/>
              </w:rPr>
              <w:t>39.37</w:t>
            </w:r>
          </w:p>
        </w:tc>
        <w:tc>
          <w:tcPr>
            <w:tcW w:type="dxa" w:w="1134"/>
          </w:tcPr>
          <w:p>
            <w:pPr>
              <w:spacing w:before="20" w:after="20"/>
              <w:jc w:val="center"/>
            </w:pPr>
            <w:r/>
            <w:r>
              <w:rPr>
                <w:rFonts w:ascii="Times New Roman" w:hAnsi="Times New Roman"/>
                <w:b w:val="0"/>
                <w:sz w:val="18"/>
              </w:rPr>
              <w:t>+13.16</w:t>
            </w:r>
          </w:p>
        </w:tc>
      </w:tr>
      <w:tr>
        <w:tc>
          <w:tcPr>
            <w:tcW w:type="dxa" w:w="850"/>
          </w:tcPr>
          <w:p>
            <w:pPr>
              <w:spacing w:before="20" w:after="20"/>
              <w:jc w:val="center"/>
            </w:pPr>
            <w:r/>
            <w:r>
              <w:rPr>
                <w:rFonts w:ascii="Times New Roman" w:hAnsi="Times New Roman"/>
                <w:b w:val="0"/>
                <w:sz w:val="18"/>
              </w:rPr>
              <w:t>L04</w:t>
            </w:r>
          </w:p>
        </w:tc>
        <w:tc>
          <w:tcPr>
            <w:tcW w:type="dxa" w:w="1587"/>
          </w:tcPr>
          <w:p>
            <w:pPr>
              <w:spacing w:before="20" w:after="20"/>
              <w:jc w:val="center"/>
            </w:pPr>
            <w:r/>
            <w:r>
              <w:rPr>
                <w:rFonts w:ascii="Times New Roman" w:hAnsi="Times New Roman"/>
                <w:b w:val="0"/>
                <w:sz w:val="18"/>
              </w:rPr>
              <w:t>1515.9</w:t>
            </w:r>
          </w:p>
        </w:tc>
        <w:tc>
          <w:tcPr>
            <w:tcW w:type="dxa" w:w="1417"/>
          </w:tcPr>
          <w:p>
            <w:pPr>
              <w:spacing w:before="20" w:after="20"/>
              <w:jc w:val="center"/>
            </w:pPr>
            <w:r/>
            <w:r>
              <w:rPr>
                <w:rFonts w:ascii="Times New Roman" w:hAnsi="Times New Roman"/>
                <w:b w:val="0"/>
                <w:sz w:val="18"/>
              </w:rPr>
              <w:t>51.62</w:t>
            </w:r>
          </w:p>
        </w:tc>
        <w:tc>
          <w:tcPr>
            <w:tcW w:type="dxa" w:w="1417"/>
          </w:tcPr>
          <w:p>
            <w:pPr>
              <w:spacing w:before="20" w:after="20"/>
              <w:jc w:val="center"/>
            </w:pPr>
            <w:r/>
            <w:r>
              <w:rPr>
                <w:rFonts w:ascii="Times New Roman" w:hAnsi="Times New Roman"/>
                <w:b w:val="0"/>
                <w:sz w:val="18"/>
              </w:rPr>
              <w:t>39.15</w:t>
            </w:r>
          </w:p>
        </w:tc>
        <w:tc>
          <w:tcPr>
            <w:tcW w:type="dxa" w:w="1134"/>
          </w:tcPr>
          <w:p>
            <w:pPr>
              <w:spacing w:before="20" w:after="20"/>
              <w:jc w:val="center"/>
            </w:pPr>
            <w:r/>
            <w:r>
              <w:rPr>
                <w:rFonts w:ascii="Times New Roman" w:hAnsi="Times New Roman"/>
                <w:b w:val="0"/>
                <w:sz w:val="18"/>
              </w:rPr>
              <w:t>+12.47</w:t>
            </w:r>
          </w:p>
        </w:tc>
      </w:tr>
      <w:tr>
        <w:tc>
          <w:tcPr>
            <w:tcW w:type="dxa" w:w="850"/>
          </w:tcPr>
          <w:p>
            <w:pPr>
              <w:spacing w:before="20" w:after="20"/>
              <w:jc w:val="center"/>
            </w:pPr>
            <w:r/>
            <w:r>
              <w:rPr>
                <w:rFonts w:ascii="Times New Roman" w:hAnsi="Times New Roman"/>
                <w:b w:val="0"/>
                <w:sz w:val="18"/>
              </w:rPr>
              <w:t>L05</w:t>
            </w:r>
          </w:p>
        </w:tc>
        <w:tc>
          <w:tcPr>
            <w:tcW w:type="dxa" w:w="1587"/>
          </w:tcPr>
          <w:p>
            <w:pPr>
              <w:spacing w:before="20" w:after="20"/>
              <w:jc w:val="center"/>
            </w:pPr>
            <w:r/>
            <w:r>
              <w:rPr>
                <w:rFonts w:ascii="Times New Roman" w:hAnsi="Times New Roman"/>
                <w:b w:val="0"/>
                <w:sz w:val="18"/>
              </w:rPr>
              <w:t>1687.7</w:t>
            </w:r>
          </w:p>
        </w:tc>
        <w:tc>
          <w:tcPr>
            <w:tcW w:type="dxa" w:w="1417"/>
          </w:tcPr>
          <w:p>
            <w:pPr>
              <w:spacing w:before="20" w:after="20"/>
              <w:jc w:val="center"/>
            </w:pPr>
            <w:r/>
            <w:r>
              <w:rPr>
                <w:rFonts w:ascii="Times New Roman" w:hAnsi="Times New Roman"/>
                <w:b w:val="0"/>
                <w:sz w:val="18"/>
              </w:rPr>
              <w:t>51.43</w:t>
            </w:r>
          </w:p>
        </w:tc>
        <w:tc>
          <w:tcPr>
            <w:tcW w:type="dxa" w:w="1417"/>
          </w:tcPr>
          <w:p>
            <w:pPr>
              <w:spacing w:before="20" w:after="20"/>
              <w:jc w:val="center"/>
            </w:pPr>
            <w:r/>
            <w:r>
              <w:rPr>
                <w:rFonts w:ascii="Times New Roman" w:hAnsi="Times New Roman"/>
                <w:b w:val="0"/>
                <w:sz w:val="18"/>
              </w:rPr>
              <w:t>39.18</w:t>
            </w:r>
          </w:p>
        </w:tc>
        <w:tc>
          <w:tcPr>
            <w:tcW w:type="dxa" w:w="1134"/>
          </w:tcPr>
          <w:p>
            <w:pPr>
              <w:spacing w:before="20" w:after="20"/>
              <w:jc w:val="center"/>
            </w:pPr>
            <w:r/>
            <w:r>
              <w:rPr>
                <w:rFonts w:ascii="Times New Roman" w:hAnsi="Times New Roman"/>
                <w:b w:val="0"/>
                <w:sz w:val="18"/>
              </w:rPr>
              <w:t>+12.25</w:t>
            </w:r>
          </w:p>
        </w:tc>
      </w:tr>
      <w:tr>
        <w:tc>
          <w:tcPr>
            <w:tcW w:type="dxa" w:w="850"/>
          </w:tcPr>
          <w:p>
            <w:pPr>
              <w:spacing w:before="20" w:after="20"/>
              <w:jc w:val="center"/>
            </w:pPr>
            <w:r/>
            <w:r>
              <w:rPr>
                <w:rFonts w:ascii="Times New Roman" w:hAnsi="Times New Roman"/>
                <w:b w:val="0"/>
                <w:sz w:val="18"/>
              </w:rPr>
              <w:t>L06</w:t>
            </w:r>
          </w:p>
        </w:tc>
        <w:tc>
          <w:tcPr>
            <w:tcW w:type="dxa" w:w="1587"/>
          </w:tcPr>
          <w:p>
            <w:pPr>
              <w:spacing w:before="20" w:after="20"/>
              <w:jc w:val="center"/>
            </w:pPr>
            <w:r/>
            <w:r>
              <w:rPr>
                <w:rFonts w:ascii="Times New Roman" w:hAnsi="Times New Roman"/>
                <w:b w:val="0"/>
                <w:sz w:val="18"/>
              </w:rPr>
              <w:t>1587.5</w:t>
            </w:r>
          </w:p>
        </w:tc>
        <w:tc>
          <w:tcPr>
            <w:tcW w:type="dxa" w:w="1417"/>
          </w:tcPr>
          <w:p>
            <w:pPr>
              <w:spacing w:before="20" w:after="20"/>
              <w:jc w:val="center"/>
            </w:pPr>
            <w:r/>
            <w:r>
              <w:rPr>
                <w:rFonts w:ascii="Times New Roman" w:hAnsi="Times New Roman"/>
                <w:b w:val="0"/>
                <w:sz w:val="18"/>
              </w:rPr>
              <w:t>38.97</w:t>
            </w:r>
          </w:p>
        </w:tc>
        <w:tc>
          <w:tcPr>
            <w:tcW w:type="dxa" w:w="1417"/>
          </w:tcPr>
          <w:p>
            <w:pPr>
              <w:spacing w:before="20" w:after="20"/>
              <w:jc w:val="center"/>
            </w:pPr>
            <w:r/>
            <w:r>
              <w:rPr>
                <w:rFonts w:ascii="Times New Roman" w:hAnsi="Times New Roman"/>
                <w:b w:val="0"/>
                <w:sz w:val="18"/>
              </w:rPr>
              <w:t>39.16</w:t>
            </w:r>
          </w:p>
        </w:tc>
        <w:tc>
          <w:tcPr>
            <w:tcW w:type="dxa" w:w="1134"/>
          </w:tcPr>
          <w:p>
            <w:pPr>
              <w:spacing w:before="20" w:after="20"/>
              <w:jc w:val="center"/>
            </w:pPr>
            <w:r/>
            <w:r>
              <w:rPr>
                <w:rFonts w:ascii="Times New Roman" w:hAnsi="Times New Roman"/>
                <w:b w:val="0"/>
                <w:sz w:val="18"/>
              </w:rPr>
              <w:t>-0.19</w:t>
            </w:r>
          </w:p>
        </w:tc>
      </w:tr>
      <w:tr>
        <w:tc>
          <w:tcPr>
            <w:tcW w:type="dxa" w:w="850"/>
          </w:tcPr>
          <w:p>
            <w:pPr>
              <w:spacing w:before="20" w:after="20"/>
              <w:jc w:val="center"/>
            </w:pPr>
            <w:r/>
            <w:r>
              <w:rPr>
                <w:rFonts w:ascii="Times New Roman" w:hAnsi="Times New Roman"/>
                <w:b w:val="0"/>
                <w:sz w:val="18"/>
              </w:rPr>
              <w:t>L07</w:t>
            </w:r>
          </w:p>
        </w:tc>
        <w:tc>
          <w:tcPr>
            <w:tcW w:type="dxa" w:w="1587"/>
          </w:tcPr>
          <w:p>
            <w:pPr>
              <w:spacing w:before="20" w:after="20"/>
              <w:jc w:val="center"/>
            </w:pPr>
            <w:r/>
            <w:r>
              <w:rPr>
                <w:rFonts w:ascii="Times New Roman" w:hAnsi="Times New Roman"/>
                <w:b w:val="0"/>
                <w:sz w:val="18"/>
              </w:rPr>
              <w:t>2820.0</w:t>
            </w:r>
          </w:p>
        </w:tc>
        <w:tc>
          <w:tcPr>
            <w:tcW w:type="dxa" w:w="1417"/>
          </w:tcPr>
          <w:p>
            <w:pPr>
              <w:spacing w:before="20" w:after="20"/>
              <w:jc w:val="center"/>
            </w:pPr>
            <w:r/>
            <w:r>
              <w:rPr>
                <w:rFonts w:ascii="Times New Roman" w:hAnsi="Times New Roman"/>
                <w:b w:val="0"/>
                <w:sz w:val="18"/>
              </w:rPr>
              <w:t>22.41</w:t>
            </w:r>
          </w:p>
        </w:tc>
        <w:tc>
          <w:tcPr>
            <w:tcW w:type="dxa" w:w="1417"/>
          </w:tcPr>
          <w:p>
            <w:pPr>
              <w:spacing w:before="20" w:after="20"/>
              <w:jc w:val="center"/>
            </w:pPr>
            <w:r/>
            <w:r>
              <w:rPr>
                <w:rFonts w:ascii="Times New Roman" w:hAnsi="Times New Roman"/>
                <w:b w:val="0"/>
                <w:sz w:val="18"/>
              </w:rPr>
              <w:t>39.40</w:t>
            </w:r>
          </w:p>
        </w:tc>
        <w:tc>
          <w:tcPr>
            <w:tcW w:type="dxa" w:w="1134"/>
          </w:tcPr>
          <w:p>
            <w:pPr>
              <w:spacing w:before="20" w:after="20"/>
              <w:jc w:val="center"/>
            </w:pPr>
            <w:r/>
            <w:r>
              <w:rPr>
                <w:rFonts w:ascii="Times New Roman" w:hAnsi="Times New Roman"/>
                <w:b w:val="0"/>
                <w:sz w:val="18"/>
              </w:rPr>
              <w:t>-16.99</w:t>
            </w:r>
          </w:p>
        </w:tc>
      </w:tr>
      <w:tr>
        <w:tc>
          <w:tcPr>
            <w:tcW w:type="dxa" w:w="850"/>
          </w:tcPr>
          <w:p>
            <w:pPr>
              <w:spacing w:before="20" w:after="20"/>
              <w:jc w:val="center"/>
            </w:pPr>
            <w:r/>
            <w:r>
              <w:rPr>
                <w:rFonts w:ascii="Times New Roman" w:hAnsi="Times New Roman"/>
                <w:b w:val="0"/>
                <w:sz w:val="18"/>
              </w:rPr>
              <w:t>L08</w:t>
            </w:r>
          </w:p>
        </w:tc>
        <w:tc>
          <w:tcPr>
            <w:tcW w:type="dxa" w:w="1587"/>
          </w:tcPr>
          <w:p>
            <w:pPr>
              <w:spacing w:before="20" w:after="20"/>
              <w:jc w:val="center"/>
            </w:pPr>
            <w:r/>
            <w:r>
              <w:rPr>
                <w:rFonts w:ascii="Times New Roman" w:hAnsi="Times New Roman"/>
                <w:b w:val="0"/>
                <w:sz w:val="18"/>
              </w:rPr>
              <w:t>1465.9</w:t>
            </w:r>
          </w:p>
        </w:tc>
        <w:tc>
          <w:tcPr>
            <w:tcW w:type="dxa" w:w="1417"/>
          </w:tcPr>
          <w:p>
            <w:pPr>
              <w:spacing w:before="20" w:after="20"/>
              <w:jc w:val="center"/>
            </w:pPr>
            <w:r/>
            <w:r>
              <w:rPr>
                <w:rFonts w:ascii="Times New Roman" w:hAnsi="Times New Roman"/>
                <w:b w:val="0"/>
                <w:sz w:val="18"/>
              </w:rPr>
              <w:t>47.95</w:t>
            </w:r>
          </w:p>
        </w:tc>
        <w:tc>
          <w:tcPr>
            <w:tcW w:type="dxa" w:w="1417"/>
          </w:tcPr>
          <w:p>
            <w:pPr>
              <w:spacing w:before="20" w:after="20"/>
              <w:jc w:val="center"/>
            </w:pPr>
            <w:r/>
            <w:r>
              <w:rPr>
                <w:rFonts w:ascii="Times New Roman" w:hAnsi="Times New Roman"/>
                <w:b w:val="0"/>
                <w:sz w:val="18"/>
              </w:rPr>
              <w:t>39.14</w:t>
            </w:r>
          </w:p>
        </w:tc>
        <w:tc>
          <w:tcPr>
            <w:tcW w:type="dxa" w:w="1134"/>
          </w:tcPr>
          <w:p>
            <w:pPr>
              <w:spacing w:before="20" w:after="20"/>
              <w:jc w:val="center"/>
            </w:pPr>
            <w:r/>
            <w:r>
              <w:rPr>
                <w:rFonts w:ascii="Times New Roman" w:hAnsi="Times New Roman"/>
                <w:b w:val="0"/>
                <w:sz w:val="18"/>
              </w:rPr>
              <w:t>+8.81</w:t>
            </w:r>
          </w:p>
        </w:tc>
      </w:tr>
      <w:tr>
        <w:tc>
          <w:tcPr>
            <w:tcW w:type="dxa" w:w="850"/>
          </w:tcPr>
          <w:p>
            <w:pPr>
              <w:spacing w:before="20" w:after="20"/>
              <w:jc w:val="center"/>
            </w:pPr>
            <w:r/>
            <w:r>
              <w:rPr>
                <w:rFonts w:ascii="Times New Roman" w:hAnsi="Times New Roman"/>
                <w:b/>
                <w:sz w:val="18"/>
              </w:rPr>
              <w:t>L09</w:t>
            </w:r>
          </w:p>
        </w:tc>
        <w:tc>
          <w:tcPr>
            <w:tcW w:type="dxa" w:w="1587"/>
          </w:tcPr>
          <w:p>
            <w:pPr>
              <w:spacing w:before="20" w:after="20"/>
              <w:jc w:val="center"/>
            </w:pPr>
            <w:r/>
            <w:r>
              <w:rPr>
                <w:rFonts w:ascii="Times New Roman" w:hAnsi="Times New Roman"/>
                <w:b/>
                <w:sz w:val="18"/>
              </w:rPr>
              <w:t>1964.4</w:t>
            </w:r>
          </w:p>
        </w:tc>
        <w:tc>
          <w:tcPr>
            <w:tcW w:type="dxa" w:w="1417"/>
          </w:tcPr>
          <w:p>
            <w:pPr>
              <w:spacing w:before="20" w:after="20"/>
              <w:jc w:val="center"/>
            </w:pPr>
            <w:r/>
            <w:r>
              <w:rPr>
                <w:rFonts w:ascii="Times New Roman" w:hAnsi="Times New Roman"/>
                <w:b/>
                <w:sz w:val="18"/>
              </w:rPr>
              <w:t>42.68</w:t>
            </w:r>
          </w:p>
        </w:tc>
        <w:tc>
          <w:tcPr>
            <w:tcW w:type="dxa" w:w="1417"/>
          </w:tcPr>
          <w:p>
            <w:pPr>
              <w:spacing w:before="20" w:after="20"/>
              <w:jc w:val="center"/>
            </w:pPr>
            <w:r/>
            <w:r>
              <w:rPr>
                <w:rFonts w:ascii="Times New Roman" w:hAnsi="Times New Roman"/>
                <w:b/>
                <w:sz w:val="18"/>
              </w:rPr>
              <w:t>39.24</w:t>
            </w:r>
          </w:p>
        </w:tc>
        <w:tc>
          <w:tcPr>
            <w:tcW w:type="dxa" w:w="1134"/>
          </w:tcPr>
          <w:p>
            <w:pPr>
              <w:spacing w:before="20" w:after="20"/>
              <w:jc w:val="center"/>
            </w:pPr>
            <w:r/>
            <w:r>
              <w:rPr>
                <w:rFonts w:ascii="Times New Roman" w:hAnsi="Times New Roman"/>
                <w:b/>
                <w:sz w:val="18"/>
              </w:rPr>
              <w:t>+3.44</w:t>
            </w:r>
          </w:p>
        </w:tc>
      </w:tr>
    </w:tbl>
    <w:p/>
    <w:p>
      <w:pPr>
        <w:spacing w:after="120"/>
      </w:pPr>
      <w:r>
        <w:rPr>
          <w:rFonts w:ascii="Times New Roman" w:hAnsi="Times New Roman"/>
          <w:b w:val="0"/>
          <w:i/>
          <w:sz w:val="18"/>
        </w:rPr>
        <w:t>The PI method confirms the IA finding: Total PSD has R² ≈ 0.000 — absolutely no correlation.</w:t>
      </w:r>
    </w:p>
    <w:p>
      <w:pPr>
        <w:spacing w:after="120"/>
      </w:pPr>
      <w:r>
        <w:rPr>
          <w:rFonts w:ascii="Times New Roman" w:hAnsi="Times New Roman"/>
          <w:b/>
          <w:i w:val="0"/>
          <w:sz w:val="22"/>
        </w:rPr>
        <w:t>Table 5.6: Complete Scatter Diagram Correlation Summary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268"/>
            <w:shd w:fill="003366"/>
          </w:tcPr>
          <w:p>
            <w:pPr>
              <w:spacing w:before="20" w:after="20"/>
              <w:jc w:val="center"/>
            </w:pPr>
            <w:r/>
            <w:r>
              <w:rPr>
                <w:rFonts w:ascii="Times New Roman" w:hAnsi="Times New Roman"/>
                <w:b/>
                <w:color w:val="FFFFFF"/>
                <w:sz w:val="18"/>
              </w:rPr>
              <w:t>Correlation Pair</w:t>
            </w:r>
          </w:p>
        </w:tc>
        <w:tc>
          <w:tcPr>
            <w:tcW w:type="dxa" w:w="1020"/>
            <w:shd w:fill="003366"/>
          </w:tcPr>
          <w:p>
            <w:pPr>
              <w:spacing w:before="20" w:after="20"/>
              <w:jc w:val="center"/>
            </w:pPr>
            <w:r/>
            <w:r>
              <w:rPr>
                <w:rFonts w:ascii="Times New Roman" w:hAnsi="Times New Roman"/>
                <w:b/>
                <w:color w:val="FFFFFF"/>
                <w:sz w:val="18"/>
              </w:rPr>
              <w:t>Pearson r</w:t>
            </w:r>
          </w:p>
        </w:tc>
        <w:tc>
          <w:tcPr>
            <w:tcW w:type="dxa" w:w="850"/>
            <w:shd w:fill="003366"/>
          </w:tcPr>
          <w:p>
            <w:pPr>
              <w:spacing w:before="20" w:after="20"/>
              <w:jc w:val="center"/>
            </w:pPr>
            <w:r/>
            <w:r>
              <w:rPr>
                <w:rFonts w:ascii="Times New Roman" w:hAnsi="Times New Roman"/>
                <w:b/>
                <w:color w:val="FFFFFF"/>
                <w:sz w:val="18"/>
              </w:rPr>
              <w:t>R²</w:t>
            </w:r>
          </w:p>
        </w:tc>
        <w:tc>
          <w:tcPr>
            <w:tcW w:type="dxa" w:w="850"/>
            <w:shd w:fill="003366"/>
          </w:tcPr>
          <w:p>
            <w:pPr>
              <w:spacing w:before="20" w:after="20"/>
              <w:jc w:val="center"/>
            </w:pPr>
            <w:r/>
            <w:r>
              <w:rPr>
                <w:rFonts w:ascii="Times New Roman" w:hAnsi="Times New Roman"/>
                <w:b/>
                <w:color w:val="FFFFFF"/>
                <w:sz w:val="18"/>
              </w:rPr>
              <w:t>Significance</w:t>
            </w:r>
          </w:p>
        </w:tc>
        <w:tc>
          <w:tcPr>
            <w:tcW w:type="dxa" w:w="1984"/>
            <w:shd w:fill="003366"/>
          </w:tcPr>
          <w:p>
            <w:pPr>
              <w:spacing w:before="20" w:after="20"/>
              <w:jc w:val="center"/>
            </w:pPr>
            <w:r/>
            <w:r>
              <w:rPr>
                <w:rFonts w:ascii="Times New Roman" w:hAnsi="Times New Roman"/>
                <w:b/>
                <w:color w:val="FFFFFF"/>
                <w:sz w:val="18"/>
              </w:rPr>
              <w:t>Verdict</w:t>
            </w:r>
          </w:p>
        </w:tc>
      </w:tr>
      <w:tr>
        <w:tc>
          <w:tcPr>
            <w:tcW w:type="dxa" w:w="2268"/>
          </w:tcPr>
          <w:p>
            <w:pPr>
              <w:spacing w:before="20" w:after="20"/>
              <w:jc w:val="center"/>
            </w:pPr>
            <w:r/>
            <w:r>
              <w:rPr>
                <w:rFonts w:ascii="Times New Roman" w:hAnsi="Times New Roman"/>
                <w:b w:val="0"/>
                <w:sz w:val="18"/>
              </w:rPr>
              <w:t>CS vs Amor.PSD (IA)</w:t>
            </w:r>
          </w:p>
        </w:tc>
        <w:tc>
          <w:tcPr>
            <w:tcW w:type="dxa" w:w="1020"/>
          </w:tcPr>
          <w:p>
            <w:pPr>
              <w:spacing w:before="20" w:after="20"/>
              <w:jc w:val="center"/>
            </w:pPr>
            <w:r/>
            <w:r>
              <w:rPr>
                <w:rFonts w:ascii="Times New Roman" w:hAnsi="Times New Roman"/>
                <w:b w:val="0"/>
                <w:sz w:val="18"/>
              </w:rPr>
              <w:t>+0.8103</w:t>
            </w:r>
          </w:p>
        </w:tc>
        <w:tc>
          <w:tcPr>
            <w:tcW w:type="dxa" w:w="850"/>
          </w:tcPr>
          <w:p>
            <w:pPr>
              <w:spacing w:before="20" w:after="20"/>
              <w:jc w:val="center"/>
            </w:pPr>
            <w:r/>
            <w:r>
              <w:rPr>
                <w:rFonts w:ascii="Times New Roman" w:hAnsi="Times New Roman"/>
                <w:b w:val="0"/>
                <w:sz w:val="18"/>
              </w:rPr>
              <w:t>0.6566</w:t>
            </w:r>
          </w:p>
        </w:tc>
        <w:tc>
          <w:tcPr>
            <w:tcW w:type="dxa" w:w="850"/>
          </w:tcPr>
          <w:p>
            <w:pPr>
              <w:spacing w:before="20" w:after="20"/>
              <w:jc w:val="center"/>
            </w:pPr>
            <w:r/>
            <w:r>
              <w:rPr>
                <w:rFonts w:ascii="Times New Roman" w:hAnsi="Times New Roman"/>
                <w:b w:val="0"/>
                <w:sz w:val="18"/>
              </w:rPr>
              <w:t>p&lt;0.01</w:t>
            </w:r>
          </w:p>
        </w:tc>
        <w:tc>
          <w:tcPr>
            <w:tcW w:type="dxa" w:w="1984"/>
          </w:tcPr>
          <w:p>
            <w:pPr>
              <w:spacing w:before="20" w:after="20"/>
              <w:jc w:val="center"/>
            </w:pPr>
            <w:r/>
            <w:r>
              <w:rPr>
                <w:rFonts w:ascii="Times New Roman" w:hAnsi="Times New Roman"/>
                <w:b w:val="0"/>
                <w:sz w:val="18"/>
              </w:rPr>
              <w:t>✓ STRONG PREDICTOR</w:t>
            </w:r>
          </w:p>
        </w:tc>
      </w:tr>
      <w:tr>
        <w:tc>
          <w:tcPr>
            <w:tcW w:type="dxa" w:w="2268"/>
          </w:tcPr>
          <w:p>
            <w:pPr>
              <w:spacing w:before="20" w:after="20"/>
              <w:jc w:val="center"/>
            </w:pPr>
            <w:r/>
            <w:r>
              <w:rPr>
                <w:rFonts w:ascii="Times New Roman" w:hAnsi="Times New Roman"/>
                <w:b w:val="0"/>
                <w:sz w:val="18"/>
              </w:rPr>
              <w:t>CS vs Amor.PSD (PI)</w:t>
            </w:r>
          </w:p>
        </w:tc>
        <w:tc>
          <w:tcPr>
            <w:tcW w:type="dxa" w:w="1020"/>
          </w:tcPr>
          <w:p>
            <w:pPr>
              <w:spacing w:before="20" w:after="20"/>
              <w:jc w:val="center"/>
            </w:pPr>
            <w:r/>
            <w:r>
              <w:rPr>
                <w:rFonts w:ascii="Times New Roman" w:hAnsi="Times New Roman"/>
                <w:b w:val="0"/>
                <w:sz w:val="18"/>
              </w:rPr>
              <w:t>+0.8100</w:t>
            </w:r>
          </w:p>
        </w:tc>
        <w:tc>
          <w:tcPr>
            <w:tcW w:type="dxa" w:w="850"/>
          </w:tcPr>
          <w:p>
            <w:pPr>
              <w:spacing w:before="20" w:after="20"/>
              <w:jc w:val="center"/>
            </w:pPr>
            <w:r/>
            <w:r>
              <w:rPr>
                <w:rFonts w:ascii="Times New Roman" w:hAnsi="Times New Roman"/>
                <w:b w:val="0"/>
                <w:sz w:val="18"/>
              </w:rPr>
              <w:t>0.6561</w:t>
            </w:r>
          </w:p>
        </w:tc>
        <w:tc>
          <w:tcPr>
            <w:tcW w:type="dxa" w:w="850"/>
          </w:tcPr>
          <w:p>
            <w:pPr>
              <w:spacing w:before="20" w:after="20"/>
              <w:jc w:val="center"/>
            </w:pPr>
            <w:r/>
            <w:r>
              <w:rPr>
                <w:rFonts w:ascii="Times New Roman" w:hAnsi="Times New Roman"/>
                <w:b w:val="0"/>
                <w:sz w:val="18"/>
              </w:rPr>
              <w:t>p&lt;0.01</w:t>
            </w:r>
          </w:p>
        </w:tc>
        <w:tc>
          <w:tcPr>
            <w:tcW w:type="dxa" w:w="1984"/>
          </w:tcPr>
          <w:p>
            <w:pPr>
              <w:spacing w:before="20" w:after="20"/>
              <w:jc w:val="center"/>
            </w:pPr>
            <w:r/>
            <w:r>
              <w:rPr>
                <w:rFonts w:ascii="Times New Roman" w:hAnsi="Times New Roman"/>
                <w:b w:val="0"/>
                <w:sz w:val="18"/>
              </w:rPr>
              <w:t>✓ STRONG PREDICTOR</w:t>
            </w:r>
          </w:p>
        </w:tc>
      </w:tr>
      <w:tr>
        <w:tc>
          <w:tcPr>
            <w:tcW w:type="dxa" w:w="2268"/>
          </w:tcPr>
          <w:p>
            <w:pPr>
              <w:spacing w:before="20" w:after="20"/>
              <w:jc w:val="center"/>
            </w:pPr>
            <w:r/>
            <w:r>
              <w:rPr>
                <w:rFonts w:ascii="Times New Roman" w:hAnsi="Times New Roman"/>
                <w:b w:val="0"/>
                <w:sz w:val="18"/>
              </w:rPr>
              <w:t>CS vs NASH PSD (IA)</w:t>
            </w:r>
          </w:p>
        </w:tc>
        <w:tc>
          <w:tcPr>
            <w:tcW w:type="dxa" w:w="1020"/>
          </w:tcPr>
          <w:p>
            <w:pPr>
              <w:spacing w:before="20" w:after="20"/>
              <w:jc w:val="center"/>
            </w:pPr>
            <w:r/>
            <w:r>
              <w:rPr>
                <w:rFonts w:ascii="Times New Roman" w:hAnsi="Times New Roman"/>
                <w:b w:val="0"/>
                <w:sz w:val="18"/>
              </w:rPr>
              <w:t>+0.8038</w:t>
            </w:r>
          </w:p>
        </w:tc>
        <w:tc>
          <w:tcPr>
            <w:tcW w:type="dxa" w:w="850"/>
          </w:tcPr>
          <w:p>
            <w:pPr>
              <w:spacing w:before="20" w:after="20"/>
              <w:jc w:val="center"/>
            </w:pPr>
            <w:r/>
            <w:r>
              <w:rPr>
                <w:rFonts w:ascii="Times New Roman" w:hAnsi="Times New Roman"/>
                <w:b w:val="0"/>
                <w:sz w:val="18"/>
              </w:rPr>
              <w:t>0.6462</w:t>
            </w:r>
          </w:p>
        </w:tc>
        <w:tc>
          <w:tcPr>
            <w:tcW w:type="dxa" w:w="850"/>
          </w:tcPr>
          <w:p>
            <w:pPr>
              <w:spacing w:before="20" w:after="20"/>
              <w:jc w:val="center"/>
            </w:pPr>
            <w:r/>
            <w:r>
              <w:rPr>
                <w:rFonts w:ascii="Times New Roman" w:hAnsi="Times New Roman"/>
                <w:b w:val="0"/>
                <w:sz w:val="18"/>
              </w:rPr>
              <w:t>p&lt;0.01</w:t>
            </w:r>
          </w:p>
        </w:tc>
        <w:tc>
          <w:tcPr>
            <w:tcW w:type="dxa" w:w="1984"/>
          </w:tcPr>
          <w:p>
            <w:pPr>
              <w:spacing w:before="20" w:after="20"/>
              <w:jc w:val="center"/>
            </w:pPr>
            <w:r/>
            <w:r>
              <w:rPr>
                <w:rFonts w:ascii="Times New Roman" w:hAnsi="Times New Roman"/>
                <w:b w:val="0"/>
                <w:sz w:val="18"/>
              </w:rPr>
              <w:t>✓ STRONG PREDICTOR</w:t>
            </w:r>
          </w:p>
        </w:tc>
      </w:tr>
      <w:tr>
        <w:tc>
          <w:tcPr>
            <w:tcW w:type="dxa" w:w="2268"/>
          </w:tcPr>
          <w:p>
            <w:pPr>
              <w:spacing w:before="20" w:after="20"/>
              <w:jc w:val="center"/>
            </w:pPr>
            <w:r/>
            <w:r>
              <w:rPr>
                <w:rFonts w:ascii="Times New Roman" w:hAnsi="Times New Roman"/>
                <w:b w:val="0"/>
                <w:sz w:val="18"/>
              </w:rPr>
              <w:t>CS vs CASH PSD (IA)</w:t>
            </w:r>
          </w:p>
        </w:tc>
        <w:tc>
          <w:tcPr>
            <w:tcW w:type="dxa" w:w="1020"/>
          </w:tcPr>
          <w:p>
            <w:pPr>
              <w:spacing w:before="20" w:after="20"/>
              <w:jc w:val="center"/>
            </w:pPr>
            <w:r/>
            <w:r>
              <w:rPr>
                <w:rFonts w:ascii="Times New Roman" w:hAnsi="Times New Roman"/>
                <w:b w:val="0"/>
                <w:sz w:val="18"/>
              </w:rPr>
              <w:t>+0.6476</w:t>
            </w:r>
          </w:p>
        </w:tc>
        <w:tc>
          <w:tcPr>
            <w:tcW w:type="dxa" w:w="850"/>
          </w:tcPr>
          <w:p>
            <w:pPr>
              <w:spacing w:before="20" w:after="20"/>
              <w:jc w:val="center"/>
            </w:pPr>
            <w:r/>
            <w:r>
              <w:rPr>
                <w:rFonts w:ascii="Times New Roman" w:hAnsi="Times New Roman"/>
                <w:b w:val="0"/>
                <w:sz w:val="18"/>
              </w:rPr>
              <w:t>0.4193</w:t>
            </w:r>
          </w:p>
        </w:tc>
        <w:tc>
          <w:tcPr>
            <w:tcW w:type="dxa" w:w="850"/>
          </w:tcPr>
          <w:p>
            <w:pPr>
              <w:spacing w:before="20" w:after="20"/>
              <w:jc w:val="center"/>
            </w:pPr>
            <w:r/>
            <w:r>
              <w:rPr>
                <w:rFonts w:ascii="Times New Roman" w:hAnsi="Times New Roman"/>
                <w:b w:val="0"/>
                <w:sz w:val="18"/>
              </w:rPr>
              <w:t>p&lt;0.05</w:t>
            </w:r>
          </w:p>
        </w:tc>
        <w:tc>
          <w:tcPr>
            <w:tcW w:type="dxa" w:w="1984"/>
          </w:tcPr>
          <w:p>
            <w:pPr>
              <w:spacing w:before="20" w:after="20"/>
              <w:jc w:val="center"/>
            </w:pPr>
            <w:r/>
            <w:r>
              <w:rPr>
                <w:rFonts w:ascii="Times New Roman" w:hAnsi="Times New Roman"/>
                <w:b w:val="0"/>
                <w:sz w:val="18"/>
              </w:rPr>
              <w:t>✓ MODERATE</w:t>
            </w:r>
          </w:p>
        </w:tc>
      </w:tr>
      <w:tr>
        <w:tc>
          <w:tcPr>
            <w:tcW w:type="dxa" w:w="2268"/>
          </w:tcPr>
          <w:p>
            <w:pPr>
              <w:spacing w:before="20" w:after="20"/>
              <w:jc w:val="center"/>
            </w:pPr>
            <w:r/>
            <w:r>
              <w:rPr>
                <w:rFonts w:ascii="Times New Roman" w:hAnsi="Times New Roman"/>
                <w:b w:val="0"/>
                <w:sz w:val="18"/>
              </w:rPr>
              <w:t>CS vs Cryst.PSD (IA)</w:t>
            </w:r>
          </w:p>
        </w:tc>
        <w:tc>
          <w:tcPr>
            <w:tcW w:type="dxa" w:w="1020"/>
          </w:tcPr>
          <w:p>
            <w:pPr>
              <w:spacing w:before="20" w:after="20"/>
              <w:jc w:val="center"/>
            </w:pPr>
            <w:r/>
            <w:r>
              <w:rPr>
                <w:rFonts w:ascii="Times New Roman" w:hAnsi="Times New Roman"/>
                <w:b w:val="0"/>
                <w:sz w:val="18"/>
              </w:rPr>
              <w:t>-0.3176</w:t>
            </w:r>
          </w:p>
        </w:tc>
        <w:tc>
          <w:tcPr>
            <w:tcW w:type="dxa" w:w="850"/>
          </w:tcPr>
          <w:p>
            <w:pPr>
              <w:spacing w:before="20" w:after="20"/>
              <w:jc w:val="center"/>
            </w:pPr>
            <w:r/>
            <w:r>
              <w:rPr>
                <w:rFonts w:ascii="Times New Roman" w:hAnsi="Times New Roman"/>
                <w:b w:val="0"/>
                <w:sz w:val="18"/>
              </w:rPr>
              <w:t>0.1008</w:t>
            </w:r>
          </w:p>
        </w:tc>
        <w:tc>
          <w:tcPr>
            <w:tcW w:type="dxa" w:w="850"/>
          </w:tcPr>
          <w:p>
            <w:pPr>
              <w:spacing w:before="20" w:after="20"/>
              <w:jc w:val="center"/>
            </w:pPr>
            <w:r/>
            <w:r>
              <w:rPr>
                <w:rFonts w:ascii="Times New Roman" w:hAnsi="Times New Roman"/>
                <w:b w:val="0"/>
                <w:sz w:val="18"/>
              </w:rPr>
              <w:t>n.s.</w:t>
            </w:r>
          </w:p>
        </w:tc>
        <w:tc>
          <w:tcPr>
            <w:tcW w:type="dxa" w:w="1984"/>
          </w:tcPr>
          <w:p>
            <w:pPr>
              <w:spacing w:before="20" w:after="20"/>
              <w:jc w:val="center"/>
            </w:pPr>
            <w:r/>
            <w:r>
              <w:rPr>
                <w:rFonts w:ascii="Times New Roman" w:hAnsi="Times New Roman"/>
                <w:b w:val="0"/>
                <w:sz w:val="18"/>
              </w:rPr>
              <w:t>✗ NO CORRELATION</w:t>
            </w:r>
          </w:p>
        </w:tc>
      </w:tr>
      <w:tr>
        <w:tc>
          <w:tcPr>
            <w:tcW w:type="dxa" w:w="2268"/>
          </w:tcPr>
          <w:p>
            <w:pPr>
              <w:spacing w:before="20" w:after="20"/>
              <w:jc w:val="center"/>
            </w:pPr>
            <w:r/>
            <w:r>
              <w:rPr>
                <w:rFonts w:ascii="Times New Roman" w:hAnsi="Times New Roman"/>
                <w:b w:val="0"/>
                <w:sz w:val="18"/>
              </w:rPr>
              <w:t>CS vs Total PSD (IA)</w:t>
            </w:r>
          </w:p>
        </w:tc>
        <w:tc>
          <w:tcPr>
            <w:tcW w:type="dxa" w:w="1020"/>
          </w:tcPr>
          <w:p>
            <w:pPr>
              <w:spacing w:before="20" w:after="20"/>
              <w:jc w:val="center"/>
            </w:pPr>
            <w:r/>
            <w:r>
              <w:rPr>
                <w:rFonts w:ascii="Times New Roman" w:hAnsi="Times New Roman"/>
                <w:b w:val="0"/>
                <w:sz w:val="18"/>
              </w:rPr>
              <w:t>-0.1676</w:t>
            </w:r>
          </w:p>
        </w:tc>
        <w:tc>
          <w:tcPr>
            <w:tcW w:type="dxa" w:w="850"/>
          </w:tcPr>
          <w:p>
            <w:pPr>
              <w:spacing w:before="20" w:after="20"/>
              <w:jc w:val="center"/>
            </w:pPr>
            <w:r/>
            <w:r>
              <w:rPr>
                <w:rFonts w:ascii="Times New Roman" w:hAnsi="Times New Roman"/>
                <w:b w:val="0"/>
                <w:sz w:val="18"/>
              </w:rPr>
              <w:t>0.0281</w:t>
            </w:r>
          </w:p>
        </w:tc>
        <w:tc>
          <w:tcPr>
            <w:tcW w:type="dxa" w:w="850"/>
          </w:tcPr>
          <w:p>
            <w:pPr>
              <w:spacing w:before="20" w:after="20"/>
              <w:jc w:val="center"/>
            </w:pPr>
            <w:r/>
            <w:r>
              <w:rPr>
                <w:rFonts w:ascii="Times New Roman" w:hAnsi="Times New Roman"/>
                <w:b w:val="0"/>
                <w:sz w:val="18"/>
              </w:rPr>
              <w:t>n.s.</w:t>
            </w:r>
          </w:p>
        </w:tc>
        <w:tc>
          <w:tcPr>
            <w:tcW w:type="dxa" w:w="1984"/>
          </w:tcPr>
          <w:p>
            <w:pPr>
              <w:spacing w:before="20" w:after="20"/>
              <w:jc w:val="center"/>
            </w:pPr>
            <w:r/>
            <w:r>
              <w:rPr>
                <w:rFonts w:ascii="Times New Roman" w:hAnsi="Times New Roman"/>
                <w:b w:val="0"/>
                <w:sz w:val="18"/>
              </w:rPr>
              <w:t>✗ NO CORRELATION</w:t>
            </w:r>
          </w:p>
        </w:tc>
      </w:tr>
      <w:tr>
        <w:tc>
          <w:tcPr>
            <w:tcW w:type="dxa" w:w="2268"/>
          </w:tcPr>
          <w:p>
            <w:pPr>
              <w:spacing w:before="20" w:after="20"/>
              <w:jc w:val="center"/>
            </w:pPr>
            <w:r/>
            <w:r>
              <w:rPr>
                <w:rFonts w:ascii="Times New Roman" w:hAnsi="Times New Roman"/>
                <w:b/>
                <w:sz w:val="18"/>
              </w:rPr>
              <w:t>CS vs Total PSD (PI)</w:t>
            </w:r>
          </w:p>
        </w:tc>
        <w:tc>
          <w:tcPr>
            <w:tcW w:type="dxa" w:w="1020"/>
          </w:tcPr>
          <w:p>
            <w:pPr>
              <w:spacing w:before="20" w:after="20"/>
              <w:jc w:val="center"/>
            </w:pPr>
            <w:r/>
            <w:r>
              <w:rPr>
                <w:rFonts w:ascii="Times New Roman" w:hAnsi="Times New Roman"/>
                <w:b/>
                <w:sz w:val="18"/>
              </w:rPr>
              <w:t>+0.0076</w:t>
            </w:r>
          </w:p>
        </w:tc>
        <w:tc>
          <w:tcPr>
            <w:tcW w:type="dxa" w:w="850"/>
          </w:tcPr>
          <w:p>
            <w:pPr>
              <w:spacing w:before="20" w:after="20"/>
              <w:jc w:val="center"/>
            </w:pPr>
            <w:r/>
            <w:r>
              <w:rPr>
                <w:rFonts w:ascii="Times New Roman" w:hAnsi="Times New Roman"/>
                <w:b/>
                <w:sz w:val="18"/>
              </w:rPr>
              <w:t>0.0001</w:t>
            </w:r>
          </w:p>
        </w:tc>
        <w:tc>
          <w:tcPr>
            <w:tcW w:type="dxa" w:w="850"/>
          </w:tcPr>
          <w:p>
            <w:pPr>
              <w:spacing w:before="20" w:after="20"/>
              <w:jc w:val="center"/>
            </w:pPr>
            <w:r/>
            <w:r>
              <w:rPr>
                <w:rFonts w:ascii="Times New Roman" w:hAnsi="Times New Roman"/>
                <w:b/>
                <w:sz w:val="18"/>
              </w:rPr>
              <w:t>n.s.</w:t>
            </w:r>
          </w:p>
        </w:tc>
        <w:tc>
          <w:tcPr>
            <w:tcW w:type="dxa" w:w="1984"/>
          </w:tcPr>
          <w:p>
            <w:pPr>
              <w:spacing w:before="20" w:after="20"/>
              <w:jc w:val="center"/>
            </w:pPr>
            <w:r/>
            <w:r>
              <w:rPr>
                <w:rFonts w:ascii="Times New Roman" w:hAnsi="Times New Roman"/>
                <w:b/>
                <w:sz w:val="18"/>
              </w:rPr>
              <w:t>✗ NO CORRELATION</w:t>
            </w:r>
          </w:p>
        </w:tc>
      </w:tr>
    </w:tbl>
    <w:p/>
    <w:p>
      <w:r>
        <w:br w:type="page"/>
      </w:r>
    </w:p>
    <w:p>
      <w:pPr>
        <w:pStyle w:val="Heading1"/>
      </w:pPr>
      <w:r>
        <w:rPr>
          <w:rFonts w:ascii="Times New Roman" w:hAnsi="Times New Roman"/>
          <w:color w:val="000050"/>
        </w:rPr>
        <w:t>6. Three-Stage Mechanistic Model</w:t>
      </w:r>
    </w:p>
    <w:p>
      <w:pPr>
        <w:spacing w:after="120"/>
      </w:pPr>
      <w:r>
        <w:rPr>
          <w:rFonts w:ascii="Times New Roman" w:hAnsi="Times New Roman"/>
          <w:b w:val="0"/>
          <w:i w:val="0"/>
          <w:sz w:val="20"/>
        </w:rPr>
        <w:t>Based on the integrated analysis of PSD data, compressive strength, and EDS chemistry across all nine mix designations, a three-stage mechanistic model is proposed for strength development in fly ash-GGBS alkali-activated mortars: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567"/>
            <w:shd w:fill="003366"/>
          </w:tcPr>
          <w:p>
            <w:pPr>
              <w:spacing w:before="20" w:after="20"/>
              <w:jc w:val="center"/>
            </w:pPr>
            <w:r/>
            <w:r>
              <w:rPr>
                <w:rFonts w:ascii="Times New Roman" w:hAnsi="Times New Roman"/>
                <w:b/>
                <w:color w:val="FFFFFF"/>
                <w:sz w:val="18"/>
              </w:rPr>
              <w:t>Stage</w:t>
            </w:r>
          </w:p>
        </w:tc>
        <w:tc>
          <w:tcPr>
            <w:tcW w:type="dxa" w:w="1417"/>
            <w:shd w:fill="003366"/>
          </w:tcPr>
          <w:p>
            <w:pPr>
              <w:spacing w:before="20" w:after="20"/>
              <w:jc w:val="center"/>
            </w:pPr>
            <w:r/>
            <w:r>
              <w:rPr>
                <w:rFonts w:ascii="Times New Roman" w:hAnsi="Times New Roman"/>
                <w:b/>
                <w:color w:val="FFFFFF"/>
                <w:sz w:val="18"/>
              </w:rPr>
              <w:t>Name</w:t>
            </w:r>
          </w:p>
        </w:tc>
        <w:tc>
          <w:tcPr>
            <w:tcW w:type="dxa" w:w="850"/>
            <w:shd w:fill="003366"/>
          </w:tcPr>
          <w:p>
            <w:pPr>
              <w:spacing w:before="20" w:after="20"/>
              <w:jc w:val="center"/>
            </w:pPr>
            <w:r/>
            <w:r>
              <w:rPr>
                <w:rFonts w:ascii="Times New Roman" w:hAnsi="Times New Roman"/>
                <w:b/>
                <w:color w:val="FFFFFF"/>
                <w:sz w:val="18"/>
              </w:rPr>
              <w:t>Mixes</w:t>
            </w:r>
          </w:p>
        </w:tc>
        <w:tc>
          <w:tcPr>
            <w:tcW w:type="dxa" w:w="1701"/>
            <w:shd w:fill="003366"/>
          </w:tcPr>
          <w:p>
            <w:pPr>
              <w:spacing w:before="20" w:after="20"/>
              <w:jc w:val="center"/>
            </w:pPr>
            <w:r/>
            <w:r>
              <w:rPr>
                <w:rFonts w:ascii="Times New Roman" w:hAnsi="Times New Roman"/>
                <w:b/>
                <w:color w:val="FFFFFF"/>
                <w:sz w:val="18"/>
              </w:rPr>
              <w:t>Characteristic</w:t>
            </w:r>
          </w:p>
        </w:tc>
        <w:tc>
          <w:tcPr>
            <w:tcW w:type="dxa" w:w="2268"/>
            <w:shd w:fill="003366"/>
          </w:tcPr>
          <w:p>
            <w:pPr>
              <w:spacing w:before="20" w:after="20"/>
              <w:jc w:val="center"/>
            </w:pPr>
            <w:r/>
            <w:r>
              <w:rPr>
                <w:rFonts w:ascii="Times New Roman" w:hAnsi="Times New Roman"/>
                <w:b/>
                <w:color w:val="FFFFFF"/>
                <w:sz w:val="18"/>
              </w:rPr>
              <w:t>Mechanism</w:t>
            </w:r>
          </w:p>
        </w:tc>
        <w:tc>
          <w:tcPr>
            <w:tcW w:type="dxa" w:w="1984"/>
            <w:shd w:fill="003366"/>
          </w:tcPr>
          <w:p>
            <w:pPr>
              <w:spacing w:before="20" w:after="20"/>
              <w:jc w:val="center"/>
            </w:pPr>
            <w:r/>
            <w:r>
              <w:rPr>
                <w:rFonts w:ascii="Times New Roman" w:hAnsi="Times New Roman"/>
                <w:b/>
                <w:color w:val="FFFFFF"/>
                <w:sz w:val="18"/>
              </w:rPr>
              <w:t>Optimisation Strategy</w:t>
            </w:r>
          </w:p>
        </w:tc>
      </w:tr>
      <w:tr>
        <w:tc>
          <w:tcPr>
            <w:tcW w:type="dxa" w:w="567"/>
          </w:tcPr>
          <w:p>
            <w:pPr>
              <w:spacing w:before="20" w:after="20"/>
              <w:jc w:val="center"/>
            </w:pPr>
            <w:r/>
            <w:r>
              <w:rPr>
                <w:rFonts w:ascii="Times New Roman" w:hAnsi="Times New Roman"/>
                <w:b w:val="0"/>
                <w:sz w:val="18"/>
              </w:rPr>
              <w:t>1</w:t>
            </w:r>
          </w:p>
        </w:tc>
        <w:tc>
          <w:tcPr>
            <w:tcW w:type="dxa" w:w="1417"/>
          </w:tcPr>
          <w:p>
            <w:pPr>
              <w:spacing w:before="20" w:after="20"/>
              <w:jc w:val="center"/>
            </w:pPr>
            <w:r/>
            <w:r>
              <w:rPr>
                <w:rFonts w:ascii="Times New Roman" w:hAnsi="Times New Roman"/>
                <w:b w:val="0"/>
                <w:sz w:val="18"/>
              </w:rPr>
              <w:t>Dissolution-Limited</w:t>
            </w:r>
          </w:p>
        </w:tc>
        <w:tc>
          <w:tcPr>
            <w:tcW w:type="dxa" w:w="850"/>
          </w:tcPr>
          <w:p>
            <w:pPr>
              <w:spacing w:before="20" w:after="20"/>
              <w:jc w:val="center"/>
            </w:pPr>
            <w:r/>
            <w:r>
              <w:rPr>
                <w:rFonts w:ascii="Times New Roman" w:hAnsi="Times New Roman"/>
                <w:b w:val="0"/>
                <w:sz w:val="18"/>
              </w:rPr>
              <w:t>L01, L07</w:t>
            </w:r>
          </w:p>
        </w:tc>
        <w:tc>
          <w:tcPr>
            <w:tcW w:type="dxa" w:w="1701"/>
          </w:tcPr>
          <w:p>
            <w:pPr>
              <w:spacing w:before="20" w:after="20"/>
              <w:jc w:val="center"/>
            </w:pPr>
            <w:r/>
            <w:r>
              <w:rPr>
                <w:rFonts w:ascii="Times New Roman" w:hAnsi="Times New Roman"/>
                <w:b w:val="0"/>
                <w:sz w:val="18"/>
              </w:rPr>
              <w:t>Low amorphous PSD (&lt;700 IA); low CS (&lt;23 MPa)</w:t>
            </w:r>
          </w:p>
        </w:tc>
        <w:tc>
          <w:tcPr>
            <w:tcW w:type="dxa" w:w="2268"/>
          </w:tcPr>
          <w:p>
            <w:pPr>
              <w:spacing w:before="20" w:after="20"/>
              <w:jc w:val="center"/>
            </w:pPr>
            <w:r/>
            <w:r>
              <w:rPr>
                <w:rFonts w:ascii="Times New Roman" w:hAnsi="Times New Roman"/>
                <w:b w:val="0"/>
                <w:sz w:val="18"/>
              </w:rPr>
              <w:t>Insufficient OH⁻ for precursor dissolution (L01) or Ca encapsulation of particles (L07). Crystalline PSD dominates.</w:t>
            </w:r>
          </w:p>
        </w:tc>
        <w:tc>
          <w:tcPr>
            <w:tcW w:type="dxa" w:w="1984"/>
          </w:tcPr>
          <w:p>
            <w:pPr>
              <w:spacing w:before="20" w:after="20"/>
              <w:jc w:val="center"/>
            </w:pPr>
            <w:r/>
            <w:r>
              <w:rPr>
                <w:rFonts w:ascii="Times New Roman" w:hAnsi="Times New Roman"/>
                <w:b w:val="0"/>
                <w:sz w:val="18"/>
              </w:rPr>
              <w:t>Increase Al/B ratio or NaOH molarity. Avoid high GGBS at low Al/B.</w:t>
            </w:r>
          </w:p>
        </w:tc>
      </w:tr>
      <w:tr>
        <w:tc>
          <w:tcPr>
            <w:tcW w:type="dxa" w:w="567"/>
          </w:tcPr>
          <w:p>
            <w:pPr>
              <w:spacing w:before="20" w:after="20"/>
              <w:jc w:val="center"/>
            </w:pPr>
            <w:r/>
            <w:r>
              <w:rPr>
                <w:rFonts w:ascii="Times New Roman" w:hAnsi="Times New Roman"/>
                <w:b w:val="0"/>
                <w:sz w:val="18"/>
              </w:rPr>
              <w:t>2</w:t>
            </w:r>
          </w:p>
        </w:tc>
        <w:tc>
          <w:tcPr>
            <w:tcW w:type="dxa" w:w="1417"/>
          </w:tcPr>
          <w:p>
            <w:pPr>
              <w:spacing w:before="20" w:after="20"/>
              <w:jc w:val="center"/>
            </w:pPr>
            <w:r/>
            <w:r>
              <w:rPr>
                <w:rFonts w:ascii="Times New Roman" w:hAnsi="Times New Roman"/>
                <w:b w:val="0"/>
                <w:sz w:val="18"/>
              </w:rPr>
              <w:t>Gel-Quality-Dominated</w:t>
            </w:r>
          </w:p>
        </w:tc>
        <w:tc>
          <w:tcPr>
            <w:tcW w:type="dxa" w:w="850"/>
          </w:tcPr>
          <w:p>
            <w:pPr>
              <w:spacing w:before="20" w:after="20"/>
              <w:jc w:val="center"/>
            </w:pPr>
            <w:r/>
            <w:r>
              <w:rPr>
                <w:rFonts w:ascii="Times New Roman" w:hAnsi="Times New Roman"/>
                <w:b w:val="0"/>
                <w:sz w:val="18"/>
              </w:rPr>
              <w:t>L03, L06, L09</w:t>
            </w:r>
          </w:p>
        </w:tc>
        <w:tc>
          <w:tcPr>
            <w:tcW w:type="dxa" w:w="1701"/>
          </w:tcPr>
          <w:p>
            <w:pPr>
              <w:spacing w:before="20" w:after="20"/>
              <w:jc w:val="center"/>
            </w:pPr>
            <w:r/>
            <w:r>
              <w:rPr>
                <w:rFonts w:ascii="Times New Roman" w:hAnsi="Times New Roman"/>
                <w:b w:val="0"/>
                <w:sz w:val="18"/>
              </w:rPr>
              <w:t>Moderate amorphous PSD with optimal or near-optimal NASH/CASH ratio</w:t>
            </w:r>
          </w:p>
        </w:tc>
        <w:tc>
          <w:tcPr>
            <w:tcW w:type="dxa" w:w="2268"/>
          </w:tcPr>
          <w:p>
            <w:pPr>
              <w:spacing w:before="20" w:after="20"/>
              <w:jc w:val="center"/>
            </w:pPr>
            <w:r/>
            <w:r>
              <w:rPr>
                <w:rFonts w:ascii="Times New Roman" w:hAnsi="Times New Roman"/>
                <w:b w:val="0"/>
                <w:sz w:val="18"/>
              </w:rPr>
              <w:t>Adequate dissolution achieved. Strength governed by gel chemistry (NASH/CASH balance) rather than total gel quantity.</w:t>
            </w:r>
          </w:p>
        </w:tc>
        <w:tc>
          <w:tcPr>
            <w:tcW w:type="dxa" w:w="1984"/>
          </w:tcPr>
          <w:p>
            <w:pPr>
              <w:spacing w:before="20" w:after="20"/>
              <w:jc w:val="center"/>
            </w:pPr>
            <w:r/>
            <w:r>
              <w:rPr>
                <w:rFonts w:ascii="Times New Roman" w:hAnsi="Times New Roman"/>
                <w:b w:val="0"/>
                <w:sz w:val="18"/>
              </w:rPr>
              <w:t>Adjust FA:GGBS ratio to target NASH/CASH = 11-35. Optimise Al/B and NaOH for dissolution without excess.</w:t>
            </w:r>
          </w:p>
        </w:tc>
      </w:tr>
      <w:tr>
        <w:tc>
          <w:tcPr>
            <w:tcW w:type="dxa" w:w="567"/>
          </w:tcPr>
          <w:p>
            <w:pPr>
              <w:spacing w:before="20" w:after="20"/>
              <w:jc w:val="center"/>
            </w:pPr>
            <w:r/>
            <w:r>
              <w:rPr>
                <w:rFonts w:ascii="Times New Roman" w:hAnsi="Times New Roman"/>
                <w:b/>
                <w:sz w:val="18"/>
              </w:rPr>
              <w:t>3</w:t>
            </w:r>
          </w:p>
        </w:tc>
        <w:tc>
          <w:tcPr>
            <w:tcW w:type="dxa" w:w="1417"/>
          </w:tcPr>
          <w:p>
            <w:pPr>
              <w:spacing w:before="20" w:after="20"/>
              <w:jc w:val="center"/>
            </w:pPr>
            <w:r/>
            <w:r>
              <w:rPr>
                <w:rFonts w:ascii="Times New Roman" w:hAnsi="Times New Roman"/>
                <w:b/>
                <w:sz w:val="18"/>
              </w:rPr>
              <w:t>Gel-Quantity-Dominated</w:t>
            </w:r>
          </w:p>
        </w:tc>
        <w:tc>
          <w:tcPr>
            <w:tcW w:type="dxa" w:w="850"/>
          </w:tcPr>
          <w:p>
            <w:pPr>
              <w:spacing w:before="20" w:after="20"/>
              <w:jc w:val="center"/>
            </w:pPr>
            <w:r/>
            <w:r>
              <w:rPr>
                <w:rFonts w:ascii="Times New Roman" w:hAnsi="Times New Roman"/>
                <w:b/>
                <w:sz w:val="18"/>
              </w:rPr>
              <w:t>L04, L05, L08</w:t>
            </w:r>
          </w:p>
        </w:tc>
        <w:tc>
          <w:tcPr>
            <w:tcW w:type="dxa" w:w="1701"/>
          </w:tcPr>
          <w:p>
            <w:pPr>
              <w:spacing w:before="20" w:after="20"/>
              <w:jc w:val="center"/>
            </w:pPr>
            <w:r/>
            <w:r>
              <w:rPr>
                <w:rFonts w:ascii="Times New Roman" w:hAnsi="Times New Roman"/>
                <w:b/>
                <w:sz w:val="18"/>
              </w:rPr>
              <w:t>High amorphous PSD (&gt;3,200 IA); high CS (&gt;48 MPa)</w:t>
            </w:r>
          </w:p>
        </w:tc>
        <w:tc>
          <w:tcPr>
            <w:tcW w:type="dxa" w:w="2268"/>
          </w:tcPr>
          <w:p>
            <w:pPr>
              <w:spacing w:before="20" w:after="20"/>
              <w:jc w:val="center"/>
            </w:pPr>
            <w:r/>
            <w:r>
              <w:rPr>
                <w:rFonts w:ascii="Times New Roman" w:hAnsi="Times New Roman"/>
                <w:b/>
                <w:sz w:val="18"/>
              </w:rPr>
              <w:t>Favourable precursor composition and activator dosage. Dissolution and gel chemistry both optimised. Further gains require more gel.</w:t>
            </w:r>
          </w:p>
        </w:tc>
        <w:tc>
          <w:tcPr>
            <w:tcW w:type="dxa" w:w="1984"/>
          </w:tcPr>
          <w:p>
            <w:pPr>
              <w:spacing w:before="20" w:after="20"/>
              <w:jc w:val="center"/>
            </w:pPr>
            <w:r/>
            <w:r>
              <w:rPr>
                <w:rFonts w:ascii="Times New Roman" w:hAnsi="Times New Roman"/>
                <w:b/>
                <w:sz w:val="18"/>
              </w:rPr>
              <w:t>Extended curing duration, elevated temperature curing, or refined activator SiO₂/Na₂O ratio to maximise gel conversion.</w:t>
            </w:r>
          </w:p>
        </w:tc>
      </w:tr>
    </w:tbl>
    <w:p/>
    <w:p>
      <w:pPr>
        <w:spacing w:after="120"/>
        <w:jc w:val="center"/>
      </w:pPr>
      <w:r>
        <w:rPr>
          <w:rFonts w:ascii="Times New Roman" w:hAnsi="Times New Roman"/>
          <w:b w:val="0"/>
          <w:i/>
          <w:sz w:val="16"/>
        </w:rPr>
        <w:t>Table 6.1. Three-stage mechanistic model for strength development in fly ash-GGBS alkali-activated mortars.</w:t>
      </w:r>
    </w:p>
    <w:p>
      <w:pPr>
        <w:spacing w:after="120"/>
      </w:pPr>
      <w:r>
        <w:rPr>
          <w:rFonts w:ascii="Times New Roman" w:hAnsi="Times New Roman"/>
          <w:b w:val="0"/>
          <w:i w:val="0"/>
          <w:sz w:val="20"/>
        </w:rPr>
        <w:t>The PSD methodology, by separately quantifying dissolution extent (inverse crystalline PSD), gel quantity (amorphous PSD), and gel quality (NASH/CASH ratio), enables classification of any given mix into one of these three stages and prescribes the appropriate optimisation strategy. This framework is anticipated to be broadly applicable to the mix design optimisation of alkali-activated materials beyond the specific precursor-activator combinations investigated in the present study.</w:t>
      </w:r>
    </w:p>
    <w:p>
      <w:r>
        <w:br w:type="page"/>
      </w:r>
    </w:p>
    <w:p>
      <w:pPr>
        <w:pStyle w:val="Heading1"/>
      </w:pPr>
      <w:r>
        <w:rPr>
          <w:rFonts w:ascii="Times New Roman" w:hAnsi="Times New Roman"/>
          <w:color w:val="000050"/>
        </w:rPr>
        <w:t>7. Conclusions</w:t>
      </w:r>
    </w:p>
    <w:p>
      <w:pPr>
        <w:spacing w:after="120"/>
      </w:pPr>
      <w:r>
        <w:rPr>
          <w:rFonts w:ascii="Times New Roman" w:hAnsi="Times New Roman"/>
          <w:b w:val="0"/>
          <w:i w:val="0"/>
          <w:sz w:val="20"/>
        </w:rPr>
        <w:t>1. The Peak Intensity PSD and Integrated Area PSD methods provide complementary, convergent quantification of crystalline and amorphous phase contributions in fly ash-GGBS alkali-activated mortars. Both methods yield identical strength correlations (|Δr| = 0.0003), providing independent cross-validation of the PSD methodology.</w:t>
      </w:r>
    </w:p>
    <w:p>
      <w:pPr>
        <w:spacing w:after="120"/>
      </w:pPr>
      <w:r>
        <w:rPr>
          <w:rFonts w:ascii="Times New Roman" w:hAnsi="Times New Roman"/>
          <w:b w:val="0"/>
          <w:i w:val="0"/>
          <w:sz w:val="20"/>
        </w:rPr>
        <w:t>2. The amorphous gel PSD (NASH + CASH) is the dominant predictor of 28-day compressive strength, with r = +0.810 (R² = 0.657, p &lt; 0.01) for the Integrated Area method. The total PSD (crystalline + amorphous) has NO predictive power (r = −0.168, R² = 0.028) — phase deconvolution is mathematically essential to recover the hidden structure-property relationship.</w:t>
      </w:r>
    </w:p>
    <w:p>
      <w:pPr>
        <w:spacing w:after="120"/>
      </w:pPr>
      <w:r>
        <w:rPr>
          <w:rFonts w:ascii="Times New Roman" w:hAnsi="Times New Roman"/>
          <w:b w:val="0"/>
          <w:i w:val="0"/>
          <w:sz w:val="20"/>
        </w:rPr>
        <w:t>3. Gel quality, as quantified by the NASH/CASH partition ratio, outweighs gel quantity as a determinant of compressive strength. Mix L03 achieves the highest strength (52.53 MPa) with the lowest amorphous fraction (7.1%) through its optimal NASH/CASH ratio of 15.59. The optimal NASH/CASH range for strength above 48 MPa is approximately 11-35.</w:t>
      </w:r>
    </w:p>
    <w:p>
      <w:pPr>
        <w:spacing w:after="120"/>
      </w:pPr>
      <w:r>
        <w:rPr>
          <w:rFonts w:ascii="Times New Roman" w:hAnsi="Times New Roman"/>
          <w:b w:val="0"/>
          <w:i w:val="0"/>
          <w:sz w:val="20"/>
        </w:rPr>
        <w:t>4. The crystalline phases (quartz, mullite, calcite) function predominantly as inert fillers, exhibiting a negative correlation with strength (r = −0.318). The quartz-mullite peak overlap at ~26.5° 2θ introduces ±5-15% uncertainty in individual Q/M partitioning but does not affect the total crystalline PSD or the principal findings.</w:t>
      </w:r>
    </w:p>
    <w:p>
      <w:pPr>
        <w:spacing w:after="120"/>
      </w:pPr>
      <w:r>
        <w:rPr>
          <w:rFonts w:ascii="Times New Roman" w:hAnsi="Times New Roman"/>
          <w:b w:val="0"/>
          <w:i w:val="0"/>
          <w:sz w:val="20"/>
        </w:rPr>
        <w:t>5. A three-stage mechanistic model — Dissolution-Limited → Gel-Quality-Dominated → Gel-Quantity-Dominated — provides a framework for targeted mix design optimisation based on PSD-derived phase quantities. Each stage prescribes a distinct optimisation strategy.</w:t>
      </w:r>
    </w:p>
    <w:p>
      <w:pPr>
        <w:spacing w:after="120"/>
      </w:pPr>
      <w:r>
        <w:rPr>
          <w:rFonts w:ascii="Times New Roman" w:hAnsi="Times New Roman"/>
          <w:b w:val="0"/>
          <w:i w:val="0"/>
          <w:sz w:val="20"/>
        </w:rPr>
        <w:t>6. Scatter diagram analysis across 10 figures confirms that only deconvoluted phase quantities predict mechanical performance. The R² scatter plot data tables (Section 5) enable complete independent reproduction of all correlation analyses.</w:t>
      </w:r>
    </w:p>
    <w:p>
      <w:r>
        <w:br w:type="page"/>
      </w:r>
    </w:p>
    <w:p>
      <w:pPr>
        <w:pStyle w:val="Heading2"/>
      </w:pPr>
      <w:r>
        <w:rPr>
          <w:rFonts w:ascii="Times New Roman" w:hAnsi="Times New Roman"/>
          <w:color w:val="000050"/>
        </w:rPr>
        <w:t>8. References (APA 7th Edition)</w:t>
      </w:r>
    </w:p>
    <w:p>
      <w:pPr>
        <w:spacing w:after="120"/>
      </w:pPr>
      <w:r>
        <w:rPr>
          <w:rFonts w:ascii="Times New Roman" w:hAnsi="Times New Roman"/>
          <w:b w:val="0"/>
          <w:i w:val="0"/>
          <w:sz w:val="18"/>
        </w:rPr>
        <w:t>Chancey, R. T., Stutzman, P., Juenger, M. C. G., &amp; Fowler, D. W. (2010). Comprehensive phase characterization of crystalline and amorphous phases of a Class F fly ash. Cement and Concrete Research, 40(1), 146-156.</w:t>
      </w:r>
    </w:p>
    <w:p/>
    <w:p>
      <w:pPr>
        <w:spacing w:after="120"/>
      </w:pPr>
      <w:r>
        <w:rPr>
          <w:rFonts w:ascii="Times New Roman" w:hAnsi="Times New Roman"/>
          <w:b w:val="0"/>
          <w:i w:val="0"/>
          <w:sz w:val="18"/>
        </w:rPr>
        <w:t>Criado, M., Fernández-Jiménez, A., de la Torre, A. G., Aranda, M. A. G., &amp; Palomo, A. (2007). An XRD study of the effect of the SiO₂/Na₂O ratio on the alkali activation of fly ash. Cement and Concrete Research, 37(5), 671-679.</w:t>
      </w:r>
    </w:p>
    <w:p/>
    <w:p>
      <w:pPr>
        <w:spacing w:after="120"/>
      </w:pPr>
      <w:r>
        <w:rPr>
          <w:rFonts w:ascii="Times New Roman" w:hAnsi="Times New Roman"/>
          <w:b w:val="0"/>
          <w:i w:val="0"/>
          <w:sz w:val="18"/>
        </w:rPr>
        <w:t>Cullity, B. D., &amp; Stock, S. R. (2014). Elements of X-ray diffraction (3rd ed.). Pearson.</w:t>
      </w:r>
    </w:p>
    <w:p/>
    <w:p>
      <w:pPr>
        <w:spacing w:after="120"/>
      </w:pPr>
      <w:r>
        <w:rPr>
          <w:rFonts w:ascii="Times New Roman" w:hAnsi="Times New Roman"/>
          <w:b w:val="0"/>
          <w:i w:val="0"/>
          <w:sz w:val="18"/>
        </w:rPr>
        <w:t>Duxson, P., Fernández-Jiménez, A., Provis, J. L., Lukey, G. C., Palomo, A., &amp; van Deventer, J. S. J. (2007). Geopolymer technology: The current state of the art. Journal of Materials Science, 42(9), 2917-2933.</w:t>
      </w:r>
    </w:p>
    <w:p/>
    <w:p>
      <w:pPr>
        <w:spacing w:after="120"/>
      </w:pPr>
      <w:r>
        <w:rPr>
          <w:rFonts w:ascii="Times New Roman" w:hAnsi="Times New Roman"/>
          <w:b w:val="0"/>
          <w:i w:val="0"/>
          <w:sz w:val="18"/>
        </w:rPr>
        <w:t>García-Lodeiro, I., Palomo, A., &amp; Fernández-Jiménez, A. (2015). An overview of the chemistry of alkali-activated cement-based binders. In Handbook of alkali-activated cements, mortars and concretes (pp. 19-47). Woodhead Publishing.</w:t>
      </w:r>
    </w:p>
    <w:p/>
    <w:p>
      <w:pPr>
        <w:spacing w:after="120"/>
      </w:pPr>
      <w:r>
        <w:rPr>
          <w:rFonts w:ascii="Times New Roman" w:hAnsi="Times New Roman"/>
          <w:b w:val="0"/>
          <w:i w:val="0"/>
          <w:sz w:val="18"/>
        </w:rPr>
        <w:t>García-Lodeiro, I., Palomo, A., Fernández-Jiménez, A., &amp; Macphee, D. E. (2011). Compatibility studies between N-A-S-H and C-A-S-H gels. Cement and Concrete Research, 41(9), 923-931.</w:t>
      </w:r>
    </w:p>
    <w:p/>
    <w:p>
      <w:pPr>
        <w:spacing w:after="120"/>
      </w:pPr>
      <w:r>
        <w:rPr>
          <w:rFonts w:ascii="Times New Roman" w:hAnsi="Times New Roman"/>
          <w:b w:val="0"/>
          <w:i w:val="0"/>
          <w:sz w:val="18"/>
        </w:rPr>
        <w:t>Ismail, I., Bernal, S. A., Provis, J. L., San Nicolas, R., Hamdan, S., &amp; van Deventer, J. S. J. (2014). Modification of phase evolution in alkali-activated blast furnace slag by the incorporation of fly ash. Cement and Concrete Composites, 45, 125-135.</w:t>
      </w:r>
    </w:p>
    <w:p/>
    <w:p>
      <w:pPr>
        <w:spacing w:after="120"/>
      </w:pPr>
      <w:r>
        <w:rPr>
          <w:rFonts w:ascii="Times New Roman" w:hAnsi="Times New Roman"/>
          <w:b w:val="0"/>
          <w:i w:val="0"/>
          <w:sz w:val="18"/>
        </w:rPr>
        <w:t>Klug, H. P., &amp; Alexander, L. E. (1974). X-ray diffraction procedures for polycrystalline and amorphous materials (2nd ed.). Wiley.</w:t>
      </w:r>
    </w:p>
    <w:p/>
    <w:p>
      <w:pPr>
        <w:spacing w:after="120"/>
      </w:pPr>
      <w:r>
        <w:rPr>
          <w:rFonts w:ascii="Times New Roman" w:hAnsi="Times New Roman"/>
          <w:b w:val="0"/>
          <w:i w:val="0"/>
          <w:sz w:val="18"/>
        </w:rPr>
        <w:t>Nath, S. K., &amp; Kumar, S. (2013). Influence of iron making slags on strength and microstructure of fly ash geopolymer. Construction and Building Materials, 38, 924-930.</w:t>
      </w:r>
    </w:p>
    <w:p/>
    <w:p>
      <w:pPr>
        <w:spacing w:after="120"/>
      </w:pPr>
      <w:r>
        <w:rPr>
          <w:rFonts w:ascii="Times New Roman" w:hAnsi="Times New Roman"/>
          <w:b w:val="0"/>
          <w:i w:val="0"/>
          <w:sz w:val="18"/>
        </w:rPr>
        <w:t>Provis, J. L., &amp; Bernal, S. A. (2014). Geopolymers and related alkali-activated materials. Annual Review of Materials Research, 44, 299-327.</w:t>
      </w:r>
    </w:p>
    <w:p/>
    <w:p>
      <w:pPr>
        <w:spacing w:after="120"/>
      </w:pPr>
      <w:r>
        <w:rPr>
          <w:rFonts w:ascii="Times New Roman" w:hAnsi="Times New Roman"/>
          <w:b w:val="0"/>
          <w:i w:val="0"/>
          <w:sz w:val="18"/>
        </w:rPr>
        <w:t>Puligilla, S., &amp; Mondal, P. (2013). Role of slag in microstructural development and hardening of fly ash-slag geopolymer. Cement and Concrete Research, 43, 70-80.</w:t>
      </w:r>
    </w:p>
    <w:p/>
    <w:p>
      <w:pPr>
        <w:spacing w:after="120"/>
      </w:pPr>
      <w:r>
        <w:rPr>
          <w:rFonts w:ascii="Times New Roman" w:hAnsi="Times New Roman"/>
          <w:b w:val="0"/>
          <w:i w:val="0"/>
          <w:sz w:val="18"/>
        </w:rPr>
        <w:t>Walkley, B., San Nicolas, R., Sani, M. A., Rees, G. J., Hanna, J. V., van Deventer, J. S. J., &amp; Provis, J. L. (2016). Phase evolution of C-(N)-A-S-H/N-A-S-H gel blends. Cement and Concrete Research, 89, 120-135.</w:t>
      </w:r>
    </w:p>
    <w:p/>
    <w:p>
      <w:pPr>
        <w:spacing w:after="120"/>
      </w:pPr>
      <w:r>
        <w:rPr>
          <w:rFonts w:ascii="Times New Roman" w:hAnsi="Times New Roman"/>
          <w:b w:val="0"/>
          <w:i w:val="0"/>
          <w:sz w:val="18"/>
        </w:rPr>
        <w:t>Williams, R. P., &amp; Van Riessen, A. (2010). Determination of the reactive component of fly ashes for geopolymer production using XRF and XRD. Fuel, 89(12), 3683-3692.</w:t>
      </w:r>
    </w:p>
    <w:p/>
    <w:p>
      <w:r>
        <w:br w:type="page"/>
      </w:r>
    </w:p>
    <w:p>
      <w:pPr>
        <w:spacing w:after="120"/>
        <w:jc w:val="center"/>
      </w:pPr>
      <w:r>
        <w:rPr>
          <w:rFonts w:ascii="Times New Roman" w:hAnsi="Times New Roman"/>
          <w:b w:val="0"/>
          <w:i/>
          <w:sz w:val="20"/>
        </w:rPr>
        <w:t>--- End of Document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