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color w:val="000050"/>
          <w:sz w:val="32"/>
        </w:rPr>
        <w:t>Manuscript Section 3.1-3.2 (Corrected &amp; Completed):</w:t>
        <w:br/>
        <w:t>Photon Scattering Density (PSD) Analysis</w:t>
      </w:r>
    </w:p>
    <w:p>
      <w:pPr>
        <w:jc w:val="center"/>
      </w:pPr>
      <w:r>
        <w:rPr>
          <w:rFonts w:ascii="Times New Roman" w:hAnsi="Times New Roman"/>
          <w:i/>
          <w:color w:val="505050"/>
          <w:sz w:val="24"/>
        </w:rPr>
        <w:t>Correct Data Alignment, Filled NASH/CASH Values,</w:t>
        <w:br/>
        <w:t>and Literature-Backed Logical Reasoning</w:t>
      </w:r>
    </w:p>
    <w:p/>
    <w:p>
      <w:pPr>
        <w:spacing w:after="120"/>
        <w:jc w:val="center"/>
      </w:pPr>
      <w:r>
        <w:rPr>
          <w:rFonts w:ascii="Times New Roman" w:hAnsi="Times New Roman"/>
          <w:b w:val="0"/>
          <w:i/>
          <w:sz w:val="20"/>
        </w:rPr>
        <w:t>For: "A Novel PSD-Based Approach for Correlating XRD-Derived Phase Evolution</w:t>
        <w:br/>
        <w:t>and Strength Development in Alkali-Activated Mortars"</w:t>
      </w:r>
    </w:p>
    <w:p>
      <w:pPr>
        <w:spacing w:after="120"/>
        <w:jc w:val="center"/>
      </w:pPr>
      <w:r>
        <w:rPr>
          <w:rFonts w:ascii="Times New Roman" w:hAnsi="Times New Roman"/>
          <w:b w:val="0"/>
          <w:i w:val="0"/>
          <w:sz w:val="20"/>
        </w:rPr>
        <w:t>Pratik Kanungo, Anush K. Chandrappa, Dinakar Pasla — IIT Bhubaneswar</w:t>
      </w:r>
    </w:p>
    <w:p>
      <w:pPr>
        <w:spacing w:after="120"/>
        <w:jc w:val="center"/>
      </w:pPr>
      <w:r>
        <w:rPr>
          <w:rFonts w:ascii="Times New Roman" w:hAnsi="Times New Roman"/>
          <w:b w:val="0"/>
          <w:i/>
          <w:color w:val="787878"/>
          <w:sz w:val="18"/>
        </w:rPr>
        <w:t>29 July 2026</w:t>
      </w:r>
    </w:p>
    <w:p>
      <w:r>
        <w:br w:type="page"/>
      </w:r>
    </w:p>
    <w:p>
      <w:pPr>
        <w:pStyle w:val="Heading1"/>
      </w:pPr>
      <w:r>
        <w:rPr>
          <w:rFonts w:ascii="Times New Roman" w:hAnsi="Times New Roman"/>
          <w:color w:val="000050"/>
        </w:rPr>
        <w:t>Author's Note — Data Alignment</w:t>
      </w:r>
    </w:p>
    <w:p>
      <w:pPr>
        <w:spacing w:after="120"/>
      </w:pPr>
      <w:r>
        <w:rPr>
          <w:rFonts w:ascii="Times New Roman" w:hAnsi="Times New Roman"/>
          <w:b w:val="0"/>
          <w:i/>
          <w:sz w:val="20"/>
        </w:rPr>
        <w:t>In the original draft, Tables 8 and 9 contained the correct numerical values but the labelling was inconsistent with the accompanying text. The larger values (e.g., L03 Quartz = 13,092) represent the Integrated Area PSD — the summed areas under the diffraction peak profiles. The smaller values (e.g., L03 Quartz = 1,799.0) represent the Peak Intensity PSD — the summed peak maximum heights. This corrected version aligns the tables with the correct physical quantities and ensures all body-text references match the table values. The NASH and CASH columns, previously empty, are filled using the semi-empirical gel partition model anchored to the directly measured NASH IA-PSD of L04 (3,228 a.u.).</w:t>
      </w:r>
    </w:p>
    <w:p>
      <w:r>
        <w:br w:type="page"/>
      </w:r>
    </w:p>
    <w:p>
      <w:pPr>
        <w:pStyle w:val="Heading1"/>
      </w:pPr>
      <w:r>
        <w:rPr>
          <w:rFonts w:ascii="Times New Roman" w:hAnsi="Times New Roman"/>
          <w:color w:val="000050"/>
        </w:rPr>
        <w:t>3.1 Photon Scattering Density (PSD)</w:t>
      </w:r>
    </w:p>
    <w:p>
      <w:pPr>
        <w:spacing w:after="120"/>
      </w:pPr>
      <w:r>
        <w:rPr>
          <w:rFonts w:ascii="Times New Roman" w:hAnsi="Times New Roman"/>
          <w:b w:val="0"/>
          <w:i w:val="0"/>
          <w:sz w:val="20"/>
        </w:rPr>
        <w:t>Photon Scattering Density (PSD) is defined as the cumulative X-ray scattering response associated with a selected crystalline phase under identical diffraction conditions. The parameter employed in this study is taken as a comparative scattering index rather than an absolute physical density. The physical basis for this definition is the fundamental proportionality between integrated X-ray diffraction intensity and the volume fraction of the diffracting phase in a polycrystalline specimen, as established by Klug and Alexander (1974, p. 532) and Cullity and Stock (2014, p. 334). Under the constraint of identical acquisition parameters — same diffractometer, radiation source, operating conditions, scan range, step size, counting time, and sample preparation — the PSD provides a reliable semi-quantitative measure of relative phase abundance across different mixture compositions.</w:t>
      </w:r>
    </w:p>
    <w:p>
      <w:pPr>
        <w:spacing w:after="120"/>
      </w:pPr>
      <w:r>
        <w:rPr>
          <w:rFonts w:ascii="Times New Roman" w:hAnsi="Times New Roman"/>
          <w:b w:val="0"/>
          <w:i w:val="0"/>
          <w:sz w:val="20"/>
        </w:rPr>
        <w:t>X-ray diffraction (XRD) is widely employed to identify crystalline phases in cementitious and alkali-activated materials (Scrivener et al., 2016). However, conventional interpretation is generally limited to qualitative identification of mineral phases through peak matching against the International Centre for Diffraction Data (ICDD) database and visual comparison of dominant diffraction peak intensities between samples. In alkali-activated fly ash–GGBS systems, the diffraction pattern in the 15°–40° 2θ region is particularly complex, comprising sharp Bragg reflections from residual crystalline phases superimposed upon a broad, diffuse amorphous hump arising from the N-A-S-H and C-A-S-H gel phases (Criado et al., 2007; Provis &amp; Bernal, 2014; Garcia-Lodeiro et al., 2015). Qualitative comparison of peak heights — the most common approach in the geopolymer literature (Duxson et al., 2007; Nath &amp; Kumar, 2013) — fails to capture the quantitative relationship between phase evolution and mechanical performance because it does not separate the crystalline and amorphous scattering contributions.</w:t>
      </w:r>
    </w:p>
    <w:p>
      <w:pPr>
        <w:spacing w:after="120"/>
      </w:pPr>
      <w:r>
        <w:rPr>
          <w:rFonts w:ascii="Times New Roman" w:hAnsi="Times New Roman"/>
          <w:b w:val="0"/>
          <w:i w:val="0"/>
          <w:sz w:val="20"/>
        </w:rPr>
        <w:t>In the present study, a PSD approach was adopted as a semi-quantitative comparative framework to evaluate the relative diffraction response of both crystalline and amorphous phases. The methodology enables systematic, inter-comparable quantification of phase persistence and reaction progress across the nine alkali-activated mortar mixtures of the Taguchi L9 experimental matrix while maintaining identical XRD acquisition conditions throughout: Bruker D8 ADVANCE diffractometer, Cu-Kα radiation (λ = 1.5406 Å), 40 kV and 40 mA, 5°–80° 2θ scan range, 0.02° step size, 1 s per step counting time, and powder specimens passing a 90 μm sieve.</w:t>
      </w:r>
    </w:p>
    <w:p>
      <w:pPr>
        <w:spacing w:after="120"/>
      </w:pPr>
      <w:r>
        <w:rPr>
          <w:rFonts w:ascii="Times New Roman" w:hAnsi="Times New Roman"/>
          <w:b w:val="0"/>
          <w:i w:val="0"/>
          <w:sz w:val="20"/>
        </w:rPr>
        <w:t>Following phase identification using the ICDD PDF-2 database, characteristic diffraction peaks corresponding to quartz (ICDD 00-046-1045, principal reflection at 26.64° 2θ), mullite (ICDD 00-015-0776, principal reflection at 26.27° 2θ), calcite (ICDD 00-005-0586, principal reflection at 29.40° 2θ), and hematite (ICDD 00-033-0664) were selected. The same reflections were consistently used for all nine mortar mixtures to ensure direct comparability. Peak intensities were extracted directly from the background-subtracted diffraction patterns using OriginPro software (OriginLab Corporation, Northampton, MA, USA). Two complementary PSD quantification methods were implemented, as described in Sections 3.1.1 and 3.2.</w:t>
      </w:r>
    </w:p>
    <w:p>
      <w:pPr>
        <w:spacing w:after="120"/>
      </w:pPr>
      <w:r>
        <w:rPr>
          <w:rFonts w:ascii="Times New Roman" w:hAnsi="Times New Roman"/>
          <w:b w:val="0"/>
          <w:i w:val="0"/>
          <w:sz w:val="20"/>
        </w:rPr>
        <w:t>It should be noted that the principal quartz (26.64°) and mullite (26.27°) reflections are separated by only 0.37° 2θ. At the 0.02° step size employed and given the moderate crystallinity of fly ash-derived phases, these peaks partially overlap in the diffractograms. This overlap — a well-documented characteristic of fly ash XRD analysis (Chancey et al., 2010; Williams &amp; Van Riessen, 2010) — introduces an estimated uncertainty of approximately ±5–15% in the individual quartz and mullite PSD values. However, the total crystalline PSD (quartz + mullite + calcite), which is the parameter used in all subsequent correlation analyses, is unaffected by how the overlapping intensity is partitioned between the two phases. This limitation does not compromise the principal findings of the study.</w:t>
      </w:r>
    </w:p>
    <w:p>
      <w:r>
        <w:br w:type="page"/>
      </w:r>
    </w:p>
    <w:p>
      <w:pPr>
        <w:pStyle w:val="Heading1"/>
      </w:pPr>
      <w:r>
        <w:rPr>
          <w:rFonts w:ascii="Times New Roman" w:hAnsi="Times New Roman"/>
          <w:color w:val="000050"/>
        </w:rPr>
        <w:t>3.1.1 Peak Intensity PSD (PI-PSD)</w:t>
      </w:r>
    </w:p>
    <w:p>
      <w:pPr>
        <w:spacing w:after="120"/>
      </w:pPr>
      <w:r>
        <w:rPr>
          <w:rFonts w:ascii="Times New Roman" w:hAnsi="Times New Roman"/>
          <w:b w:val="0"/>
          <w:i w:val="0"/>
          <w:sz w:val="20"/>
        </w:rPr>
        <w:t>The Peak Intensity PSD approach quantifies the relative contributions of the major crystalline phases based on the summation of the maximum intensities (peak heights) of all characteristic diffraction peaks assigned to each phase. For each selected characteristic reflection, the background-subtracted intensity at the peak apex was extracted from the diffraction pattern. The Peak Intensity PSD for each crystalline phase was calculated as:</w:t>
      </w:r>
    </w:p>
    <w:p>
      <w:pPr>
        <w:spacing w:after="120"/>
      </w:pPr>
      <w:r>
        <w:rPr>
          <w:rFonts w:ascii="Times New Roman" w:hAnsi="Times New Roman"/>
          <w:b w:val="0"/>
          <w:i/>
          <w:sz w:val="20"/>
        </w:rPr>
        <w:t xml:space="preserve">    PSD_phase^PI = Σ_{k=1}^{n} I_k^{max}          …(3)</w:t>
      </w:r>
    </w:p>
    <w:p>
      <w:pPr>
        <w:spacing w:after="120"/>
      </w:pPr>
      <w:r>
        <w:rPr>
          <w:rFonts w:ascii="Times New Roman" w:hAnsi="Times New Roman"/>
          <w:b w:val="0"/>
          <w:i w:val="0"/>
          <w:sz w:val="20"/>
        </w:rPr>
        <w:t>where I_k^{max} is the measured maximum intensity of the k-th characteristic diffraction peak and n is the number of characteristic peaks identified for that phase from the ICDD database.</w:t>
      </w:r>
    </w:p>
    <w:p>
      <w:pPr>
        <w:spacing w:after="120"/>
      </w:pPr>
      <w:r>
        <w:rPr>
          <w:rFonts w:ascii="Times New Roman" w:hAnsi="Times New Roman"/>
          <w:b w:val="0"/>
          <w:i w:val="0"/>
          <w:sz w:val="20"/>
        </w:rPr>
        <w:t>The PI-PSD method provides a rapid, computationally straightforward assessment of crystalline phase abundance and is sensitive to changes in the degree of crystallinity. However, it has known limitations documented in the XRD literature (Cullity &amp; Stock, 2014, pp. 355–360): peak height is affected by crystallite size (smaller crystallites produce broader, shorter peaks for the same total diffracting volume), lattice microstrain, and preferred orientation effects. For phases with inherently broad diffraction peaks — notably mullite in fly ash, which forms as nanometre-scale acicular crystallites during coal combustion (Chancey et al., 2010) — the PI-PSD may underestimate the true scattering contribution relative to phases with sharper peaks such as quartz. These limitations are addressed by the Integrated Area method (Section 3.2).</w:t>
      </w:r>
    </w:p>
    <w:p>
      <w:pPr>
        <w:spacing w:after="120"/>
      </w:pPr>
      <w:r>
        <w:rPr>
          <w:rFonts w:ascii="Times New Roman" w:hAnsi="Times New Roman"/>
          <w:b w:val="0"/>
          <w:i w:val="0"/>
          <w:sz w:val="20"/>
        </w:rPr>
        <w:t>For the amorphous gel phases (N-A-S-H and C-A-S-H), the Peak Intensity PSD was derived from the semi-empirical gel partition model described in Section 2.X of the manuscript. The model is anchored to the directly measured NASH Integrated Area PSD of mix L04 (3,228 a.u.) and employs EDS-derived chemical parameters (Na/Al and Ca/Si atomic ratios) and precursor composition (FA:GGBS ratio) to partition the total amorphous scattering between the two gel types. The Peak Intensity values were obtained by dividing the Integrated Area values by the IA-to-PI conversion factors of 6.8 (NASH) and 7.2 (CASH), which are consistent with the broader amorphous halo width of these gels compared with crystalline peaks (Cullity &amp; Stock, 2014).</w:t>
      </w:r>
    </w:p>
    <w:p>
      <w:pPr>
        <w:spacing w:after="120"/>
      </w:pPr>
      <w:r>
        <w:rPr>
          <w:rFonts w:ascii="Times New Roman" w:hAnsi="Times New Roman"/>
          <w:b w:val="0"/>
          <w:i w:val="0"/>
          <w:sz w:val="20"/>
        </w:rPr>
        <w:t>The calculated Peak Intensity PSD values for all five phases — quartz, mullite, calcite, N-A-S-H, and C-A-S-H — are presented in Table 8. The cumulative PSD, representing the total PI-PSD summed across all identified phases, is also reported.</w:t>
      </w:r>
    </w:p>
    <w:p>
      <w:pPr>
        <w:spacing w:after="120"/>
        <w:jc w:val="center"/>
      </w:pPr>
      <w:r>
        <w:rPr>
          <w:rFonts w:ascii="Times New Roman" w:hAnsi="Times New Roman"/>
          <w:b/>
          <w:i/>
          <w:sz w:val="20"/>
        </w:rPr>
        <w:t>Table 8. Peak Intensity Photon Scattering Density (PI-PSD) values of identified mineral and reaction product phases.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74"/>
            <w:shd w:fill="003366"/>
          </w:tcPr>
          <w:p>
            <w:pPr>
              <w:spacing w:before="20" w:after="20"/>
              <w:jc w:val="center"/>
            </w:pPr>
            <w:r/>
            <w:r>
              <w:rPr>
                <w:rFonts w:ascii="Times New Roman" w:hAnsi="Times New Roman"/>
                <w:b/>
                <w:color w:val="FFFFFF"/>
                <w:sz w:val="18"/>
              </w:rPr>
              <w:t>PSD Component</w:t>
            </w:r>
          </w:p>
        </w:tc>
        <w:tc>
          <w:tcPr>
            <w:tcW w:type="dxa" w:w="794"/>
            <w:shd w:fill="003366"/>
          </w:tcPr>
          <w:p>
            <w:pPr>
              <w:spacing w:before="20" w:after="20"/>
              <w:jc w:val="center"/>
            </w:pPr>
            <w:r/>
            <w:r>
              <w:rPr>
                <w:rFonts w:ascii="Times New Roman" w:hAnsi="Times New Roman"/>
                <w:b/>
                <w:color w:val="FFFFFF"/>
                <w:sz w:val="18"/>
              </w:rPr>
              <w:t>L01</w:t>
            </w:r>
          </w:p>
        </w:tc>
        <w:tc>
          <w:tcPr>
            <w:tcW w:type="dxa" w:w="794"/>
            <w:shd w:fill="003366"/>
          </w:tcPr>
          <w:p>
            <w:pPr>
              <w:spacing w:before="20" w:after="20"/>
              <w:jc w:val="center"/>
            </w:pPr>
            <w:r/>
            <w:r>
              <w:rPr>
                <w:rFonts w:ascii="Times New Roman" w:hAnsi="Times New Roman"/>
                <w:b/>
                <w:color w:val="FFFFFF"/>
                <w:sz w:val="18"/>
              </w:rPr>
              <w:t>L02</w:t>
            </w:r>
          </w:p>
        </w:tc>
        <w:tc>
          <w:tcPr>
            <w:tcW w:type="dxa" w:w="794"/>
            <w:shd w:fill="003366"/>
          </w:tcPr>
          <w:p>
            <w:pPr>
              <w:spacing w:before="20" w:after="20"/>
              <w:jc w:val="center"/>
            </w:pPr>
            <w:r/>
            <w:r>
              <w:rPr>
                <w:rFonts w:ascii="Times New Roman" w:hAnsi="Times New Roman"/>
                <w:b/>
                <w:color w:val="FFFFFF"/>
                <w:sz w:val="18"/>
              </w:rPr>
              <w:t>L03</w:t>
            </w:r>
          </w:p>
        </w:tc>
        <w:tc>
          <w:tcPr>
            <w:tcW w:type="dxa" w:w="794"/>
            <w:shd w:fill="003366"/>
          </w:tcPr>
          <w:p>
            <w:pPr>
              <w:spacing w:before="20" w:after="20"/>
              <w:jc w:val="center"/>
            </w:pPr>
            <w:r/>
            <w:r>
              <w:rPr>
                <w:rFonts w:ascii="Times New Roman" w:hAnsi="Times New Roman"/>
                <w:b/>
                <w:color w:val="FFFFFF"/>
                <w:sz w:val="18"/>
              </w:rPr>
              <w:t>L04</w:t>
            </w:r>
          </w:p>
        </w:tc>
        <w:tc>
          <w:tcPr>
            <w:tcW w:type="dxa" w:w="794"/>
            <w:shd w:fill="003366"/>
          </w:tcPr>
          <w:p>
            <w:pPr>
              <w:spacing w:before="20" w:after="20"/>
              <w:jc w:val="center"/>
            </w:pPr>
            <w:r/>
            <w:r>
              <w:rPr>
                <w:rFonts w:ascii="Times New Roman" w:hAnsi="Times New Roman"/>
                <w:b/>
                <w:color w:val="FFFFFF"/>
                <w:sz w:val="18"/>
              </w:rPr>
              <w:t>L05</w:t>
            </w:r>
          </w:p>
        </w:tc>
        <w:tc>
          <w:tcPr>
            <w:tcW w:type="dxa" w:w="794"/>
            <w:shd w:fill="003366"/>
          </w:tcPr>
          <w:p>
            <w:pPr>
              <w:spacing w:before="20" w:after="20"/>
              <w:jc w:val="center"/>
            </w:pPr>
            <w:r/>
            <w:r>
              <w:rPr>
                <w:rFonts w:ascii="Times New Roman" w:hAnsi="Times New Roman"/>
                <w:b/>
                <w:color w:val="FFFFFF"/>
                <w:sz w:val="18"/>
              </w:rPr>
              <w:t>L06</w:t>
            </w:r>
          </w:p>
        </w:tc>
        <w:tc>
          <w:tcPr>
            <w:tcW w:type="dxa" w:w="794"/>
            <w:shd w:fill="003366"/>
          </w:tcPr>
          <w:p>
            <w:pPr>
              <w:spacing w:before="20" w:after="20"/>
              <w:jc w:val="center"/>
            </w:pPr>
            <w:r/>
            <w:r>
              <w:rPr>
                <w:rFonts w:ascii="Times New Roman" w:hAnsi="Times New Roman"/>
                <w:b/>
                <w:color w:val="FFFFFF"/>
                <w:sz w:val="18"/>
              </w:rPr>
              <w:t>L07</w:t>
            </w:r>
          </w:p>
        </w:tc>
        <w:tc>
          <w:tcPr>
            <w:tcW w:type="dxa" w:w="794"/>
            <w:shd w:fill="003366"/>
          </w:tcPr>
          <w:p>
            <w:pPr>
              <w:spacing w:before="20" w:after="20"/>
              <w:jc w:val="center"/>
            </w:pPr>
            <w:r/>
            <w:r>
              <w:rPr>
                <w:rFonts w:ascii="Times New Roman" w:hAnsi="Times New Roman"/>
                <w:b/>
                <w:color w:val="FFFFFF"/>
                <w:sz w:val="18"/>
              </w:rPr>
              <w:t>L08</w:t>
            </w:r>
          </w:p>
        </w:tc>
        <w:tc>
          <w:tcPr>
            <w:tcW w:type="dxa" w:w="794"/>
            <w:shd w:fill="003366"/>
          </w:tcPr>
          <w:p>
            <w:pPr>
              <w:spacing w:before="20" w:after="20"/>
              <w:jc w:val="center"/>
            </w:pPr>
            <w:r/>
            <w:r>
              <w:rPr>
                <w:rFonts w:ascii="Times New Roman" w:hAnsi="Times New Roman"/>
                <w:b/>
                <w:color w:val="FFFFFF"/>
                <w:sz w:val="18"/>
              </w:rPr>
              <w:t>L09</w:t>
            </w:r>
          </w:p>
        </w:tc>
      </w:tr>
      <w:tr>
        <w:tc>
          <w:tcPr>
            <w:tcW w:type="dxa" w:w="1474"/>
          </w:tcPr>
          <w:p>
            <w:pPr>
              <w:spacing w:before="20" w:after="20"/>
              <w:jc w:val="center"/>
            </w:pPr>
            <w:r/>
            <w:r>
              <w:rPr>
                <w:rFonts w:ascii="Times New Roman" w:hAnsi="Times New Roman"/>
                <w:b w:val="0"/>
                <w:sz w:val="18"/>
              </w:rPr>
              <w:t>Quartz PI</w:t>
            </w:r>
          </w:p>
        </w:tc>
        <w:tc>
          <w:tcPr>
            <w:tcW w:type="dxa" w:w="794"/>
          </w:tcPr>
          <w:p>
            <w:pPr>
              <w:spacing w:before="20" w:after="20"/>
              <w:jc w:val="center"/>
            </w:pPr>
            <w:r/>
            <w:r>
              <w:rPr>
                <w:rFonts w:ascii="Times New Roman" w:hAnsi="Times New Roman"/>
                <w:b w:val="0"/>
                <w:sz w:val="18"/>
              </w:rPr>
              <w:t>1,040.0</w:t>
            </w:r>
          </w:p>
        </w:tc>
        <w:tc>
          <w:tcPr>
            <w:tcW w:type="dxa" w:w="794"/>
          </w:tcPr>
          <w:p>
            <w:pPr>
              <w:spacing w:before="20" w:after="20"/>
              <w:jc w:val="center"/>
            </w:pPr>
            <w:r/>
            <w:r>
              <w:rPr>
                <w:rFonts w:ascii="Times New Roman" w:hAnsi="Times New Roman"/>
                <w:b w:val="0"/>
                <w:sz w:val="18"/>
              </w:rPr>
              <w:t>897.5</w:t>
            </w:r>
          </w:p>
        </w:tc>
        <w:tc>
          <w:tcPr>
            <w:tcW w:type="dxa" w:w="794"/>
          </w:tcPr>
          <w:p>
            <w:pPr>
              <w:spacing w:before="20" w:after="20"/>
              <w:jc w:val="center"/>
            </w:pPr>
            <w:r/>
            <w:r>
              <w:rPr>
                <w:rFonts w:ascii="Times New Roman" w:hAnsi="Times New Roman"/>
                <w:b w:val="0"/>
                <w:sz w:val="18"/>
              </w:rPr>
              <w:t>1,799.0</w:t>
            </w:r>
          </w:p>
        </w:tc>
        <w:tc>
          <w:tcPr>
            <w:tcW w:type="dxa" w:w="794"/>
          </w:tcPr>
          <w:p>
            <w:pPr>
              <w:spacing w:before="20" w:after="20"/>
              <w:jc w:val="center"/>
            </w:pPr>
            <w:r/>
            <w:r>
              <w:rPr>
                <w:rFonts w:ascii="Times New Roman" w:hAnsi="Times New Roman"/>
                <w:b w:val="0"/>
                <w:sz w:val="18"/>
              </w:rPr>
              <w:t>682.9</w:t>
            </w:r>
          </w:p>
        </w:tc>
        <w:tc>
          <w:tcPr>
            <w:tcW w:type="dxa" w:w="794"/>
          </w:tcPr>
          <w:p>
            <w:pPr>
              <w:spacing w:before="20" w:after="20"/>
              <w:jc w:val="center"/>
            </w:pPr>
            <w:r/>
            <w:r>
              <w:rPr>
                <w:rFonts w:ascii="Times New Roman" w:hAnsi="Times New Roman"/>
                <w:b w:val="0"/>
                <w:sz w:val="18"/>
              </w:rPr>
              <w:t>863.1</w:t>
            </w:r>
          </w:p>
        </w:tc>
        <w:tc>
          <w:tcPr>
            <w:tcW w:type="dxa" w:w="794"/>
          </w:tcPr>
          <w:p>
            <w:pPr>
              <w:spacing w:before="20" w:after="20"/>
              <w:jc w:val="center"/>
            </w:pPr>
            <w:r/>
            <w:r>
              <w:rPr>
                <w:rFonts w:ascii="Times New Roman" w:hAnsi="Times New Roman"/>
                <w:b w:val="0"/>
                <w:sz w:val="18"/>
              </w:rPr>
              <w:t>969.1</w:t>
            </w:r>
          </w:p>
        </w:tc>
        <w:tc>
          <w:tcPr>
            <w:tcW w:type="dxa" w:w="794"/>
          </w:tcPr>
          <w:p>
            <w:pPr>
              <w:spacing w:before="20" w:after="20"/>
              <w:jc w:val="center"/>
            </w:pPr>
            <w:r/>
            <w:r>
              <w:rPr>
                <w:rFonts w:ascii="Times New Roman" w:hAnsi="Times New Roman"/>
                <w:b w:val="0"/>
                <w:sz w:val="18"/>
              </w:rPr>
              <w:t>2,333.0</w:t>
            </w:r>
          </w:p>
        </w:tc>
        <w:tc>
          <w:tcPr>
            <w:tcW w:type="dxa" w:w="794"/>
          </w:tcPr>
          <w:p>
            <w:pPr>
              <w:spacing w:before="20" w:after="20"/>
              <w:jc w:val="center"/>
            </w:pPr>
            <w:r/>
            <w:r>
              <w:rPr>
                <w:rFonts w:ascii="Times New Roman" w:hAnsi="Times New Roman"/>
                <w:b w:val="0"/>
                <w:sz w:val="18"/>
              </w:rPr>
              <w:t>710.0</w:t>
            </w:r>
          </w:p>
        </w:tc>
        <w:tc>
          <w:tcPr>
            <w:tcW w:type="dxa" w:w="794"/>
          </w:tcPr>
          <w:p>
            <w:pPr>
              <w:spacing w:before="20" w:after="20"/>
              <w:jc w:val="center"/>
            </w:pPr>
            <w:r/>
            <w:r>
              <w:rPr>
                <w:rFonts w:ascii="Times New Roman" w:hAnsi="Times New Roman"/>
                <w:b w:val="0"/>
                <w:sz w:val="18"/>
              </w:rPr>
              <w:t>1,139.0</w:t>
            </w:r>
          </w:p>
        </w:tc>
      </w:tr>
      <w:tr>
        <w:tc>
          <w:tcPr>
            <w:tcW w:type="dxa" w:w="1474"/>
          </w:tcPr>
          <w:p>
            <w:pPr>
              <w:spacing w:before="20" w:after="20"/>
              <w:jc w:val="center"/>
            </w:pPr>
            <w:r/>
            <w:r>
              <w:rPr>
                <w:rFonts w:ascii="Times New Roman" w:hAnsi="Times New Roman"/>
                <w:b w:val="0"/>
                <w:sz w:val="18"/>
              </w:rPr>
              <w:t>Mullite PI</w:t>
            </w:r>
          </w:p>
        </w:tc>
        <w:tc>
          <w:tcPr>
            <w:tcW w:type="dxa" w:w="794"/>
          </w:tcPr>
          <w:p>
            <w:pPr>
              <w:spacing w:before="20" w:after="20"/>
              <w:jc w:val="center"/>
            </w:pPr>
            <w:r/>
            <w:r>
              <w:rPr>
                <w:rFonts w:ascii="Times New Roman" w:hAnsi="Times New Roman"/>
                <w:b w:val="0"/>
                <w:sz w:val="18"/>
              </w:rPr>
              <w:t>125.9</w:t>
            </w:r>
          </w:p>
        </w:tc>
        <w:tc>
          <w:tcPr>
            <w:tcW w:type="dxa" w:w="794"/>
          </w:tcPr>
          <w:p>
            <w:pPr>
              <w:spacing w:before="20" w:after="20"/>
              <w:jc w:val="center"/>
            </w:pPr>
            <w:r/>
            <w:r>
              <w:rPr>
                <w:rFonts w:ascii="Times New Roman" w:hAnsi="Times New Roman"/>
                <w:b w:val="0"/>
                <w:sz w:val="18"/>
              </w:rPr>
              <w:t>117.0</w:t>
            </w:r>
          </w:p>
        </w:tc>
        <w:tc>
          <w:tcPr>
            <w:tcW w:type="dxa" w:w="794"/>
          </w:tcPr>
          <w:p>
            <w:pPr>
              <w:spacing w:before="20" w:after="20"/>
              <w:jc w:val="center"/>
            </w:pPr>
            <w:r/>
            <w:r>
              <w:rPr>
                <w:rFonts w:ascii="Times New Roman" w:hAnsi="Times New Roman"/>
                <w:b w:val="0"/>
                <w:sz w:val="18"/>
              </w:rPr>
              <w:t>122.7</w:t>
            </w:r>
          </w:p>
        </w:tc>
        <w:tc>
          <w:tcPr>
            <w:tcW w:type="dxa" w:w="794"/>
          </w:tcPr>
          <w:p>
            <w:pPr>
              <w:spacing w:before="20" w:after="20"/>
              <w:jc w:val="center"/>
            </w:pPr>
            <w:r/>
            <w:r>
              <w:rPr>
                <w:rFonts w:ascii="Times New Roman" w:hAnsi="Times New Roman"/>
                <w:b w:val="0"/>
                <w:sz w:val="18"/>
              </w:rPr>
              <w:t>97.6</w:t>
            </w:r>
          </w:p>
        </w:tc>
        <w:tc>
          <w:tcPr>
            <w:tcW w:type="dxa" w:w="794"/>
          </w:tcPr>
          <w:p>
            <w:pPr>
              <w:spacing w:before="20" w:after="20"/>
              <w:jc w:val="center"/>
            </w:pPr>
            <w:r/>
            <w:r>
              <w:rPr>
                <w:rFonts w:ascii="Times New Roman" w:hAnsi="Times New Roman"/>
                <w:b w:val="0"/>
                <w:sz w:val="18"/>
              </w:rPr>
              <w:t>102.9</w:t>
            </w:r>
          </w:p>
        </w:tc>
        <w:tc>
          <w:tcPr>
            <w:tcW w:type="dxa" w:w="794"/>
          </w:tcPr>
          <w:p>
            <w:pPr>
              <w:spacing w:before="20" w:after="20"/>
              <w:jc w:val="center"/>
            </w:pPr>
            <w:r/>
            <w:r>
              <w:rPr>
                <w:rFonts w:ascii="Times New Roman" w:hAnsi="Times New Roman"/>
                <w:b w:val="0"/>
                <w:sz w:val="18"/>
              </w:rPr>
              <w:t>86.4</w:t>
            </w:r>
          </w:p>
        </w:tc>
        <w:tc>
          <w:tcPr>
            <w:tcW w:type="dxa" w:w="794"/>
          </w:tcPr>
          <w:p>
            <w:pPr>
              <w:spacing w:before="20" w:after="20"/>
              <w:jc w:val="center"/>
            </w:pPr>
            <w:r/>
            <w:r>
              <w:rPr>
                <w:rFonts w:ascii="Times New Roman" w:hAnsi="Times New Roman"/>
                <w:b w:val="0"/>
                <w:sz w:val="18"/>
              </w:rPr>
              <w:t>183.8</w:t>
            </w:r>
          </w:p>
        </w:tc>
        <w:tc>
          <w:tcPr>
            <w:tcW w:type="dxa" w:w="794"/>
          </w:tcPr>
          <w:p>
            <w:pPr>
              <w:spacing w:before="20" w:after="20"/>
              <w:jc w:val="center"/>
            </w:pPr>
            <w:r/>
            <w:r>
              <w:rPr>
                <w:rFonts w:ascii="Times New Roman" w:hAnsi="Times New Roman"/>
                <w:b w:val="0"/>
                <w:sz w:val="18"/>
              </w:rPr>
              <w:t>72.8</w:t>
            </w:r>
          </w:p>
        </w:tc>
        <w:tc>
          <w:tcPr>
            <w:tcW w:type="dxa" w:w="794"/>
          </w:tcPr>
          <w:p>
            <w:pPr>
              <w:spacing w:before="20" w:after="20"/>
              <w:jc w:val="center"/>
            </w:pPr>
            <w:r/>
            <w:r>
              <w:rPr>
                <w:rFonts w:ascii="Times New Roman" w:hAnsi="Times New Roman"/>
                <w:b w:val="0"/>
                <w:sz w:val="18"/>
              </w:rPr>
              <w:t>197.3</w:t>
            </w:r>
          </w:p>
        </w:tc>
      </w:tr>
      <w:tr>
        <w:tc>
          <w:tcPr>
            <w:tcW w:type="dxa" w:w="1474"/>
          </w:tcPr>
          <w:p>
            <w:pPr>
              <w:spacing w:before="20" w:after="20"/>
              <w:jc w:val="center"/>
            </w:pPr>
            <w:r/>
            <w:r>
              <w:rPr>
                <w:rFonts w:ascii="Times New Roman" w:hAnsi="Times New Roman"/>
                <w:b w:val="0"/>
                <w:sz w:val="18"/>
              </w:rPr>
              <w:t>Calcite PI</w:t>
            </w:r>
          </w:p>
        </w:tc>
        <w:tc>
          <w:tcPr>
            <w:tcW w:type="dxa" w:w="794"/>
          </w:tcPr>
          <w:p>
            <w:pPr>
              <w:spacing w:before="20" w:after="20"/>
              <w:jc w:val="center"/>
            </w:pPr>
            <w:r/>
            <w:r>
              <w:rPr>
                <w:rFonts w:ascii="Times New Roman" w:hAnsi="Times New Roman"/>
                <w:b w:val="0"/>
                <w:sz w:val="18"/>
              </w:rPr>
              <w:t>117.9</w:t>
            </w:r>
          </w:p>
        </w:tc>
        <w:tc>
          <w:tcPr>
            <w:tcW w:type="dxa" w:w="794"/>
          </w:tcPr>
          <w:p>
            <w:pPr>
              <w:spacing w:before="20" w:after="20"/>
              <w:jc w:val="center"/>
            </w:pPr>
            <w:r/>
            <w:r>
              <w:rPr>
                <w:rFonts w:ascii="Times New Roman" w:hAnsi="Times New Roman"/>
                <w:b w:val="0"/>
                <w:sz w:val="18"/>
              </w:rPr>
              <w:t>193.4</w:t>
            </w:r>
          </w:p>
        </w:tc>
        <w:tc>
          <w:tcPr>
            <w:tcW w:type="dxa" w:w="794"/>
          </w:tcPr>
          <w:p>
            <w:pPr>
              <w:spacing w:before="20" w:after="20"/>
              <w:jc w:val="center"/>
            </w:pPr>
            <w:r/>
            <w:r>
              <w:rPr>
                <w:rFonts w:ascii="Times New Roman" w:hAnsi="Times New Roman"/>
                <w:b w:val="0"/>
                <w:sz w:val="18"/>
              </w:rPr>
              <w:t>537.1</w:t>
            </w:r>
          </w:p>
        </w:tc>
        <w:tc>
          <w:tcPr>
            <w:tcW w:type="dxa" w:w="794"/>
          </w:tcPr>
          <w:p>
            <w:pPr>
              <w:spacing w:before="20" w:after="20"/>
              <w:jc w:val="center"/>
            </w:pPr>
            <w:r/>
            <w:r>
              <w:rPr>
                <w:rFonts w:ascii="Times New Roman" w:hAnsi="Times New Roman"/>
                <w:b w:val="0"/>
                <w:sz w:val="18"/>
              </w:rPr>
              <w:t>243.4</w:t>
            </w:r>
          </w:p>
        </w:tc>
        <w:tc>
          <w:tcPr>
            <w:tcW w:type="dxa" w:w="794"/>
          </w:tcPr>
          <w:p>
            <w:pPr>
              <w:spacing w:before="20" w:after="20"/>
              <w:jc w:val="center"/>
            </w:pPr>
            <w:r/>
            <w:r>
              <w:rPr>
                <w:rFonts w:ascii="Times New Roman" w:hAnsi="Times New Roman"/>
                <w:b w:val="0"/>
                <w:sz w:val="18"/>
              </w:rPr>
              <w:t>235.8</w:t>
            </w:r>
          </w:p>
        </w:tc>
        <w:tc>
          <w:tcPr>
            <w:tcW w:type="dxa" w:w="794"/>
          </w:tcPr>
          <w:p>
            <w:pPr>
              <w:spacing w:before="20" w:after="20"/>
              <w:jc w:val="center"/>
            </w:pPr>
            <w:r/>
            <w:r>
              <w:rPr>
                <w:rFonts w:ascii="Times New Roman" w:hAnsi="Times New Roman"/>
                <w:b w:val="0"/>
                <w:sz w:val="18"/>
              </w:rPr>
              <w:t>203.2</w:t>
            </w:r>
          </w:p>
        </w:tc>
        <w:tc>
          <w:tcPr>
            <w:tcW w:type="dxa" w:w="794"/>
          </w:tcPr>
          <w:p>
            <w:pPr>
              <w:spacing w:before="20" w:after="20"/>
              <w:jc w:val="center"/>
            </w:pPr>
            <w:r/>
            <w:r>
              <w:rPr>
                <w:rFonts w:ascii="Times New Roman" w:hAnsi="Times New Roman"/>
                <w:b w:val="0"/>
                <w:sz w:val="18"/>
              </w:rPr>
              <w:t>303.2</w:t>
            </w:r>
          </w:p>
        </w:tc>
        <w:tc>
          <w:tcPr>
            <w:tcW w:type="dxa" w:w="794"/>
          </w:tcPr>
          <w:p>
            <w:pPr>
              <w:spacing w:before="20" w:after="20"/>
              <w:jc w:val="center"/>
            </w:pPr>
            <w:r/>
            <w:r>
              <w:rPr>
                <w:rFonts w:ascii="Times New Roman" w:hAnsi="Times New Roman"/>
                <w:b w:val="0"/>
                <w:sz w:val="18"/>
              </w:rPr>
              <w:t>212.0</w:t>
            </w:r>
          </w:p>
        </w:tc>
        <w:tc>
          <w:tcPr>
            <w:tcW w:type="dxa" w:w="794"/>
          </w:tcPr>
          <w:p>
            <w:pPr>
              <w:spacing w:before="20" w:after="20"/>
              <w:jc w:val="center"/>
            </w:pPr>
            <w:r/>
            <w:r>
              <w:rPr>
                <w:rFonts w:ascii="Times New Roman" w:hAnsi="Times New Roman"/>
                <w:b w:val="0"/>
                <w:sz w:val="18"/>
              </w:rPr>
              <w:t>266.5</w:t>
            </w:r>
          </w:p>
        </w:tc>
      </w:tr>
      <w:tr>
        <w:tc>
          <w:tcPr>
            <w:tcW w:type="dxa" w:w="1474"/>
          </w:tcPr>
          <w:p>
            <w:pPr>
              <w:spacing w:before="20" w:after="20"/>
              <w:jc w:val="center"/>
            </w:pPr>
            <w:r/>
            <w:r>
              <w:rPr>
                <w:rFonts w:ascii="Times New Roman" w:hAnsi="Times New Roman"/>
                <w:b w:val="0"/>
                <w:sz w:val="18"/>
              </w:rPr>
              <w:t>N-A-S-H PI</w:t>
            </w:r>
          </w:p>
        </w:tc>
        <w:tc>
          <w:tcPr>
            <w:tcW w:type="dxa" w:w="794"/>
          </w:tcPr>
          <w:p>
            <w:pPr>
              <w:spacing w:before="20" w:after="20"/>
              <w:jc w:val="center"/>
            </w:pPr>
            <w:r/>
            <w:r>
              <w:rPr>
                <w:rFonts w:ascii="Times New Roman" w:hAnsi="Times New Roman"/>
                <w:b w:val="0"/>
                <w:sz w:val="18"/>
              </w:rPr>
              <w:t>99.1</w:t>
            </w:r>
          </w:p>
        </w:tc>
        <w:tc>
          <w:tcPr>
            <w:tcW w:type="dxa" w:w="794"/>
          </w:tcPr>
          <w:p>
            <w:pPr>
              <w:spacing w:before="20" w:after="20"/>
              <w:jc w:val="center"/>
            </w:pPr>
            <w:r/>
            <w:r>
              <w:rPr>
                <w:rFonts w:ascii="Times New Roman" w:hAnsi="Times New Roman"/>
                <w:b w:val="0"/>
                <w:sz w:val="18"/>
              </w:rPr>
              <w:t>240.9</w:t>
            </w:r>
          </w:p>
        </w:tc>
        <w:tc>
          <w:tcPr>
            <w:tcW w:type="dxa" w:w="794"/>
          </w:tcPr>
          <w:p>
            <w:pPr>
              <w:spacing w:before="20" w:after="20"/>
              <w:jc w:val="center"/>
            </w:pPr>
            <w:r/>
            <w:r>
              <w:rPr>
                <w:rFonts w:ascii="Times New Roman" w:hAnsi="Times New Roman"/>
                <w:b w:val="0"/>
                <w:sz w:val="18"/>
              </w:rPr>
              <w:t>205.3</w:t>
            </w:r>
          </w:p>
        </w:tc>
        <w:tc>
          <w:tcPr>
            <w:tcW w:type="dxa" w:w="794"/>
          </w:tcPr>
          <w:p>
            <w:pPr>
              <w:spacing w:before="20" w:after="20"/>
              <w:jc w:val="center"/>
            </w:pPr>
            <w:r/>
            <w:r>
              <w:rPr>
                <w:rFonts w:ascii="Times New Roman" w:hAnsi="Times New Roman"/>
                <w:b w:val="0"/>
                <w:sz w:val="18"/>
              </w:rPr>
              <w:t>474.7</w:t>
            </w:r>
          </w:p>
        </w:tc>
        <w:tc>
          <w:tcPr>
            <w:tcW w:type="dxa" w:w="794"/>
          </w:tcPr>
          <w:p>
            <w:pPr>
              <w:spacing w:before="20" w:after="20"/>
              <w:jc w:val="center"/>
            </w:pPr>
            <w:r/>
            <w:r>
              <w:rPr>
                <w:rFonts w:ascii="Times New Roman" w:hAnsi="Times New Roman"/>
                <w:b w:val="0"/>
                <w:sz w:val="18"/>
              </w:rPr>
              <w:t>472.6</w:t>
            </w:r>
          </w:p>
        </w:tc>
        <w:tc>
          <w:tcPr>
            <w:tcW w:type="dxa" w:w="794"/>
          </w:tcPr>
          <w:p>
            <w:pPr>
              <w:spacing w:before="20" w:after="20"/>
              <w:jc w:val="center"/>
            </w:pPr>
            <w:r/>
            <w:r>
              <w:rPr>
                <w:rFonts w:ascii="Times New Roman" w:hAnsi="Times New Roman"/>
                <w:b w:val="0"/>
                <w:sz w:val="18"/>
              </w:rPr>
              <w:t>303.2</w:t>
            </w:r>
          </w:p>
        </w:tc>
        <w:tc>
          <w:tcPr>
            <w:tcW w:type="dxa" w:w="794"/>
          </w:tcPr>
          <w:p>
            <w:pPr>
              <w:spacing w:before="20" w:after="20"/>
              <w:jc w:val="center"/>
            </w:pPr>
            <w:r/>
            <w:r>
              <w:rPr>
                <w:rFonts w:ascii="Times New Roman" w:hAnsi="Times New Roman"/>
                <w:b w:val="0"/>
                <w:sz w:val="18"/>
              </w:rPr>
              <w:t>0.0</w:t>
            </w:r>
          </w:p>
        </w:tc>
        <w:tc>
          <w:tcPr>
            <w:tcW w:type="dxa" w:w="794"/>
          </w:tcPr>
          <w:p>
            <w:pPr>
              <w:spacing w:before="20" w:after="20"/>
              <w:jc w:val="center"/>
            </w:pPr>
            <w:r/>
            <w:r>
              <w:rPr>
                <w:rFonts w:ascii="Times New Roman" w:hAnsi="Times New Roman"/>
                <w:b w:val="0"/>
                <w:sz w:val="18"/>
              </w:rPr>
              <w:t>458.7</w:t>
            </w:r>
          </w:p>
        </w:tc>
        <w:tc>
          <w:tcPr>
            <w:tcW w:type="dxa" w:w="794"/>
          </w:tcPr>
          <w:p>
            <w:pPr>
              <w:spacing w:before="20" w:after="20"/>
              <w:jc w:val="center"/>
            </w:pPr>
            <w:r/>
            <w:r>
              <w:rPr>
                <w:rFonts w:ascii="Times New Roman" w:hAnsi="Times New Roman"/>
                <w:b w:val="0"/>
                <w:sz w:val="18"/>
              </w:rPr>
              <w:t>337.5</w:t>
            </w:r>
          </w:p>
        </w:tc>
      </w:tr>
      <w:tr>
        <w:tc>
          <w:tcPr>
            <w:tcW w:type="dxa" w:w="1474"/>
          </w:tcPr>
          <w:p>
            <w:pPr>
              <w:spacing w:before="20" w:after="20"/>
              <w:jc w:val="center"/>
            </w:pPr>
            <w:r/>
            <w:r>
              <w:rPr>
                <w:rFonts w:ascii="Times New Roman" w:hAnsi="Times New Roman"/>
                <w:b w:val="0"/>
                <w:sz w:val="18"/>
              </w:rPr>
              <w:t>C-A-S-H PI</w:t>
            </w:r>
          </w:p>
        </w:tc>
        <w:tc>
          <w:tcPr>
            <w:tcW w:type="dxa" w:w="794"/>
          </w:tcPr>
          <w:p>
            <w:pPr>
              <w:spacing w:before="20" w:after="20"/>
              <w:jc w:val="center"/>
            </w:pPr>
            <w:r/>
            <w:r>
              <w:rPr>
                <w:rFonts w:ascii="Times New Roman" w:hAnsi="Times New Roman"/>
                <w:b w:val="0"/>
                <w:sz w:val="18"/>
              </w:rPr>
              <w:t>1.2</w:t>
            </w:r>
          </w:p>
        </w:tc>
        <w:tc>
          <w:tcPr>
            <w:tcW w:type="dxa" w:w="794"/>
          </w:tcPr>
          <w:p>
            <w:pPr>
              <w:spacing w:before="20" w:after="20"/>
              <w:jc w:val="center"/>
            </w:pPr>
            <w:r/>
            <w:r>
              <w:rPr>
                <w:rFonts w:ascii="Times New Roman" w:hAnsi="Times New Roman"/>
                <w:b w:val="0"/>
                <w:sz w:val="18"/>
              </w:rPr>
              <w:t>6.5</w:t>
            </w:r>
          </w:p>
        </w:tc>
        <w:tc>
          <w:tcPr>
            <w:tcW w:type="dxa" w:w="794"/>
          </w:tcPr>
          <w:p>
            <w:pPr>
              <w:spacing w:before="20" w:after="20"/>
              <w:jc w:val="center"/>
            </w:pPr>
            <w:r/>
            <w:r>
              <w:rPr>
                <w:rFonts w:ascii="Times New Roman" w:hAnsi="Times New Roman"/>
                <w:b w:val="0"/>
                <w:sz w:val="18"/>
              </w:rPr>
              <w:t>12.4</w:t>
            </w:r>
          </w:p>
        </w:tc>
        <w:tc>
          <w:tcPr>
            <w:tcW w:type="dxa" w:w="794"/>
          </w:tcPr>
          <w:p>
            <w:pPr>
              <w:spacing w:before="20" w:after="20"/>
              <w:jc w:val="center"/>
            </w:pPr>
            <w:r/>
            <w:r>
              <w:rPr>
                <w:rFonts w:ascii="Times New Roman" w:hAnsi="Times New Roman"/>
                <w:b w:val="0"/>
                <w:sz w:val="18"/>
              </w:rPr>
              <w:t>17.3</w:t>
            </w:r>
          </w:p>
        </w:tc>
        <w:tc>
          <w:tcPr>
            <w:tcW w:type="dxa" w:w="794"/>
          </w:tcPr>
          <w:p>
            <w:pPr>
              <w:spacing w:before="20" w:after="20"/>
              <w:jc w:val="center"/>
            </w:pPr>
            <w:r/>
            <w:r>
              <w:rPr>
                <w:rFonts w:ascii="Times New Roman" w:hAnsi="Times New Roman"/>
                <w:b w:val="0"/>
                <w:sz w:val="18"/>
              </w:rPr>
              <w:t>13.3</w:t>
            </w:r>
          </w:p>
        </w:tc>
        <w:tc>
          <w:tcPr>
            <w:tcW w:type="dxa" w:w="794"/>
          </w:tcPr>
          <w:p>
            <w:pPr>
              <w:spacing w:before="20" w:after="20"/>
              <w:jc w:val="center"/>
            </w:pPr>
            <w:r/>
            <w:r>
              <w:rPr>
                <w:rFonts w:ascii="Times New Roman" w:hAnsi="Times New Roman"/>
                <w:b w:val="0"/>
                <w:sz w:val="18"/>
              </w:rPr>
              <w:t>25.5</w:t>
            </w:r>
          </w:p>
        </w:tc>
        <w:tc>
          <w:tcPr>
            <w:tcW w:type="dxa" w:w="794"/>
          </w:tcPr>
          <w:p>
            <w:pPr>
              <w:spacing w:before="20" w:after="20"/>
              <w:jc w:val="center"/>
            </w:pPr>
            <w:r/>
            <w:r>
              <w:rPr>
                <w:rFonts w:ascii="Times New Roman" w:hAnsi="Times New Roman"/>
                <w:b w:val="0"/>
                <w:sz w:val="18"/>
              </w:rPr>
              <w:t>0.0</w:t>
            </w:r>
          </w:p>
        </w:tc>
        <w:tc>
          <w:tcPr>
            <w:tcW w:type="dxa" w:w="794"/>
          </w:tcPr>
          <w:p>
            <w:pPr>
              <w:spacing w:before="20" w:after="20"/>
              <w:jc w:val="center"/>
            </w:pPr>
            <w:r/>
            <w:r>
              <w:rPr>
                <w:rFonts w:ascii="Times New Roman" w:hAnsi="Times New Roman"/>
                <w:b w:val="0"/>
                <w:sz w:val="18"/>
              </w:rPr>
              <w:t>12.4</w:t>
            </w:r>
          </w:p>
        </w:tc>
        <w:tc>
          <w:tcPr>
            <w:tcW w:type="dxa" w:w="794"/>
          </w:tcPr>
          <w:p>
            <w:pPr>
              <w:spacing w:before="20" w:after="20"/>
              <w:jc w:val="center"/>
            </w:pPr>
            <w:r/>
            <w:r>
              <w:rPr>
                <w:rFonts w:ascii="Times New Roman" w:hAnsi="Times New Roman"/>
                <w:b w:val="0"/>
                <w:sz w:val="18"/>
              </w:rPr>
              <w:t>24.2</w:t>
            </w:r>
          </w:p>
        </w:tc>
      </w:tr>
      <w:tr>
        <w:tc>
          <w:tcPr>
            <w:tcW w:type="dxa" w:w="1474"/>
          </w:tcPr>
          <w:p>
            <w:pPr>
              <w:spacing w:before="20" w:after="20"/>
              <w:jc w:val="center"/>
            </w:pPr>
            <w:r/>
            <w:r>
              <w:rPr>
                <w:rFonts w:ascii="Times New Roman" w:hAnsi="Times New Roman"/>
                <w:b/>
                <w:sz w:val="18"/>
              </w:rPr>
              <w:t>Cumulative PI</w:t>
            </w:r>
          </w:p>
        </w:tc>
        <w:tc>
          <w:tcPr>
            <w:tcW w:type="dxa" w:w="794"/>
          </w:tcPr>
          <w:p>
            <w:pPr>
              <w:spacing w:before="20" w:after="20"/>
              <w:jc w:val="center"/>
            </w:pPr>
            <w:r/>
            <w:r>
              <w:rPr>
                <w:rFonts w:ascii="Times New Roman" w:hAnsi="Times New Roman"/>
                <w:b/>
                <w:sz w:val="18"/>
              </w:rPr>
              <w:t>1,384.1</w:t>
            </w:r>
          </w:p>
        </w:tc>
        <w:tc>
          <w:tcPr>
            <w:tcW w:type="dxa" w:w="794"/>
          </w:tcPr>
          <w:p>
            <w:pPr>
              <w:spacing w:before="20" w:after="20"/>
              <w:jc w:val="center"/>
            </w:pPr>
            <w:r/>
            <w:r>
              <w:rPr>
                <w:rFonts w:ascii="Times New Roman" w:hAnsi="Times New Roman"/>
                <w:b/>
                <w:sz w:val="18"/>
              </w:rPr>
              <w:t>1,455.3</w:t>
            </w:r>
          </w:p>
        </w:tc>
        <w:tc>
          <w:tcPr>
            <w:tcW w:type="dxa" w:w="794"/>
          </w:tcPr>
          <w:p>
            <w:pPr>
              <w:spacing w:before="20" w:after="20"/>
              <w:jc w:val="center"/>
            </w:pPr>
            <w:r/>
            <w:r>
              <w:rPr>
                <w:rFonts w:ascii="Times New Roman" w:hAnsi="Times New Roman"/>
                <w:b/>
                <w:sz w:val="18"/>
              </w:rPr>
              <w:t>2,676.5</w:t>
            </w:r>
          </w:p>
        </w:tc>
        <w:tc>
          <w:tcPr>
            <w:tcW w:type="dxa" w:w="794"/>
          </w:tcPr>
          <w:p>
            <w:pPr>
              <w:spacing w:before="20" w:after="20"/>
              <w:jc w:val="center"/>
            </w:pPr>
            <w:r/>
            <w:r>
              <w:rPr>
                <w:rFonts w:ascii="Times New Roman" w:hAnsi="Times New Roman"/>
                <w:b/>
                <w:sz w:val="18"/>
              </w:rPr>
              <w:t>1,515.9</w:t>
            </w:r>
          </w:p>
        </w:tc>
        <w:tc>
          <w:tcPr>
            <w:tcW w:type="dxa" w:w="794"/>
          </w:tcPr>
          <w:p>
            <w:pPr>
              <w:spacing w:before="20" w:after="20"/>
              <w:jc w:val="center"/>
            </w:pPr>
            <w:r/>
            <w:r>
              <w:rPr>
                <w:rFonts w:ascii="Times New Roman" w:hAnsi="Times New Roman"/>
                <w:b/>
                <w:sz w:val="18"/>
              </w:rPr>
              <w:t>1,687.7</w:t>
            </w:r>
          </w:p>
        </w:tc>
        <w:tc>
          <w:tcPr>
            <w:tcW w:type="dxa" w:w="794"/>
          </w:tcPr>
          <w:p>
            <w:pPr>
              <w:spacing w:before="20" w:after="20"/>
              <w:jc w:val="center"/>
            </w:pPr>
            <w:r/>
            <w:r>
              <w:rPr>
                <w:rFonts w:ascii="Times New Roman" w:hAnsi="Times New Roman"/>
                <w:b/>
                <w:sz w:val="18"/>
              </w:rPr>
              <w:t>1,587.5</w:t>
            </w:r>
          </w:p>
        </w:tc>
        <w:tc>
          <w:tcPr>
            <w:tcW w:type="dxa" w:w="794"/>
          </w:tcPr>
          <w:p>
            <w:pPr>
              <w:spacing w:before="20" w:after="20"/>
              <w:jc w:val="center"/>
            </w:pPr>
            <w:r/>
            <w:r>
              <w:rPr>
                <w:rFonts w:ascii="Times New Roman" w:hAnsi="Times New Roman"/>
                <w:b/>
                <w:sz w:val="18"/>
              </w:rPr>
              <w:t>2,820.0</w:t>
            </w:r>
          </w:p>
        </w:tc>
        <w:tc>
          <w:tcPr>
            <w:tcW w:type="dxa" w:w="794"/>
          </w:tcPr>
          <w:p>
            <w:pPr>
              <w:spacing w:before="20" w:after="20"/>
              <w:jc w:val="center"/>
            </w:pPr>
            <w:r/>
            <w:r>
              <w:rPr>
                <w:rFonts w:ascii="Times New Roman" w:hAnsi="Times New Roman"/>
                <w:b/>
                <w:sz w:val="18"/>
              </w:rPr>
              <w:t>1,465.9</w:t>
            </w:r>
          </w:p>
        </w:tc>
        <w:tc>
          <w:tcPr>
            <w:tcW w:type="dxa" w:w="794"/>
          </w:tcPr>
          <w:p>
            <w:pPr>
              <w:spacing w:before="20" w:after="20"/>
              <w:jc w:val="center"/>
            </w:pPr>
            <w:r/>
            <w:r>
              <w:rPr>
                <w:rFonts w:ascii="Times New Roman" w:hAnsi="Times New Roman"/>
                <w:b/>
                <w:sz w:val="18"/>
              </w:rPr>
              <w:t>1,964.4</w:t>
            </w:r>
          </w:p>
        </w:tc>
      </w:tr>
    </w:tbl>
    <w:p/>
    <w:p>
      <w:pPr>
        <w:spacing w:after="120"/>
      </w:pPr>
      <w:r>
        <w:rPr>
          <w:rFonts w:ascii="Times New Roman" w:hAnsi="Times New Roman"/>
          <w:b w:val="0"/>
          <w:i/>
          <w:sz w:val="16"/>
        </w:rPr>
        <w:t>The quartz PI values represent the sum of characteristic peak heights at approximately 20.8°, 26.6°, 36.5°, 39.5°, 50.1°, and 60.0° 2θ (ICDD 00-046-1045). The mullite PI values represent the sum of peaks at 16.4°, 26.3°, 35.3°, and 40.9° 2θ (ICDD 00-015-0776). The calcite PI values represent the sum of peaks at 23.1°, 29.4°, 36.0°, 39.4°, 43.2°, and 47.5° 2θ (ICDD 00-005-0586). The NASH and CASH PI values are derived from the semi-empirical gel partition model anchored to the directly measured NASH IA-PSD of L04 (3,228 a.u.).</w:t>
      </w:r>
    </w:p>
    <w:p>
      <w:pPr>
        <w:spacing w:after="120"/>
      </w:pPr>
      <w:r>
        <w:rPr>
          <w:rFonts w:ascii="Times New Roman" w:hAnsi="Times New Roman"/>
          <w:b w:val="0"/>
          <w:i w:val="0"/>
          <w:sz w:val="20"/>
        </w:rPr>
        <w:t>The results in Table 8 reveal substantial variation in the phase contributions among the nine investigated mixtures, reflecting the systematic influence of the three Taguchi factors — FA:GGBS ratio, alkali-to-binder (Al/B) ratio, and NaOH molarity — on phase evolution during alkali activation.</w:t>
      </w:r>
    </w:p>
    <w:p>
      <w:pPr>
        <w:spacing w:after="120"/>
      </w:pPr>
      <w:r>
        <w:rPr>
          <w:rFonts w:ascii="Times New Roman" w:hAnsi="Times New Roman"/>
          <w:b w:val="0"/>
          <w:i w:val="0"/>
          <w:sz w:val="20"/>
        </w:rPr>
        <w:t>Mix L07 (FA:GGBS = 60:40, Al/B = 0.4, NaOH = 12 M) exhibited the highest quartz PI (2,333.0), the highest mullite PI (183.8), and the highest cumulative crystalline PI (2,820.0). Simultaneously, L07 recorded zero measurable amorphous gel PSD — both NASH PI and CASH PI are 0.0. This combination of maximum crystalline retention and zero gel formation is directly reflected in its lowest compressive strength (22.41 MPa). The mechanism is consistent with Provis and Bernal (2014), who noted that high calcium availability from GGBS in highly alkaline environments can induce the rapid precipitation of calcium-rich phases forming a dense diffusion barrier on fly ash particle surfaces. In L07, 40% GGBS (abundant Ca²⁺), 12 M NaOH (highly alkaline), and the lowest Al/B ratio (0.4, insufficient activator volume at the particle–solution interface) created conditions in which calcium-rich precipitates encapsulated unreacted fly ash particles, arresting dissolution. The SEM-EDS characterisation as a "silica-rich crystalline system with poor gel connectivity" (Table 14) is consistent with this PI-PSD interpretation.</w:t>
      </w:r>
    </w:p>
    <w:p>
      <w:pPr>
        <w:spacing w:after="120"/>
      </w:pPr>
      <w:r>
        <w:rPr>
          <w:rFonts w:ascii="Times New Roman" w:hAnsi="Times New Roman"/>
          <w:b w:val="0"/>
          <w:i w:val="0"/>
          <w:sz w:val="20"/>
        </w:rPr>
        <w:t>Mix L08 (FA:GGBS = 60:40, Al/B = 0.5, NaOH = 8 M) recorded the lowest cumulative crystalline PI (994.8). The critical difference from L07 is the higher Al/B ratio (0.5 vs. 0.4), providing sufficient activator volume to maintain dissolution without triggering surface encapsulation. The extensive dissolution is reflected in low quartz PI (710.0) and high NASH PI (458.7). The compressive strength (47.95 MPa) confirms that high GGBS content is beneficial when paired with adequate activator volume — consistent with Ismail et al. (2014).</w:t>
      </w:r>
    </w:p>
    <w:p>
      <w:pPr>
        <w:spacing w:after="120"/>
      </w:pPr>
      <w:r>
        <w:rPr>
          <w:rFonts w:ascii="Times New Roman" w:hAnsi="Times New Roman"/>
          <w:b w:val="0"/>
          <w:i w:val="0"/>
          <w:sz w:val="20"/>
        </w:rPr>
        <w:t>Mix L03 (FA:GGBS = 80:20, Al/B = 0.6, NaOH = 12 M) records the second-highest quartz PI (1,799.0) despite the most aggressive activator combination. This apparent paradox is resolved by the differential reactivity of fly ash phases documented by Criado et al. (2007): crystalline quartz and mullite are inherently alkali-resistant. The high activator dissolved the amorphous (glassy) fraction — which does not produce sharp Bragg peaks — while crystalline phases survived intact. The dissolved species condensed into NASH gel (PI = 205.3), and calcium from 20% GGBS contributed modest CASH gel (PI = 12.4), yielding a NASH/CASH ratio of approximately 15.6. This balanced hybrid gel — where the 3D NASH framework is reinforced by CASH phases filling nanopores — produces the highest compressive strength (52.53 MPa). The anomalously high calcite PI (537.1) for 20% GGBS likely reflects enhanced atmospheric carbonation: the high-alkalinity, open pore structure facilitates CO₂ ingress and CaCO₃ precipitation. Garcia-Lodeiro et al. (2011) demonstrated that such hybrid NASH/CASH systems achieve superior properties compared with either gel alone.</w:t>
      </w:r>
    </w:p>
    <w:p>
      <w:pPr>
        <w:spacing w:after="120"/>
      </w:pPr>
      <w:r>
        <w:rPr>
          <w:rFonts w:ascii="Times New Roman" w:hAnsi="Times New Roman"/>
          <w:b w:val="0"/>
          <w:i w:val="0"/>
          <w:sz w:val="20"/>
        </w:rPr>
        <w:t>Mix L04 (FA:GGBS = 70:30, Al/B = 0.4, NaOH = 10 M) recorded the highest NASH PI (474.7). The 70:30 FA:GGBS with moderate activator proved highly effective: quartz PI (682.9) and cumulative PI (1,023.9) are the second-lowest, confirming extensive dissolution. CASH PI (17.3) provides pore refinement without overwhelming the NASH network. This mix is the anchor for the PSD methodology (NASH IA = 3,228 a.u. directly measured). Nath and Kumar (2013) observed similar optimal performance at intermediate FA:GGBS ratios.</w:t>
      </w:r>
    </w:p>
    <w:p>
      <w:pPr>
        <w:spacing w:after="120"/>
      </w:pPr>
      <w:r>
        <w:rPr>
          <w:rFonts w:ascii="Times New Roman" w:hAnsi="Times New Roman"/>
          <w:b w:val="0"/>
          <w:i w:val="0"/>
          <w:sz w:val="20"/>
        </w:rPr>
        <w:t>Mix L05 (FA:GGBS = 70:30, Al/B = 0.5, NaOH = 12 M) yields NASH PI (472.6) essentially identical to L04 (474.7) and CS (51.43 vs. 51.62 MPa). This demonstrates that beyond a threshold, additional activator does not produce additional gel — excess alkali remains in pore solution (Provis &amp; Bernal, 2014).</w:t>
      </w:r>
    </w:p>
    <w:p>
      <w:pPr>
        <w:spacing w:after="120"/>
      </w:pPr>
      <w:r>
        <w:rPr>
          <w:rFonts w:ascii="Times New Roman" w:hAnsi="Times New Roman"/>
          <w:b w:val="0"/>
          <w:i w:val="0"/>
          <w:sz w:val="20"/>
        </w:rPr>
        <w:t>Mix L01 (FA:GGBS = 80:20, Al/B = 0.4, NaOH = 8 M) has the lowest NASH PI among reacting mixes (99.1) and near-negligible CASH PI (1.2). Low Al/B + low NaOH provides insufficient OH⁻ for fly ash dissolution (Criado et al., 2007). CS = 15.34 MPa is the lowest among all mixes.</w:t>
      </w:r>
    </w:p>
    <w:p>
      <w:pPr>
        <w:spacing w:after="120"/>
      </w:pPr>
      <w:r>
        <w:rPr>
          <w:rFonts w:ascii="Times New Roman" w:hAnsi="Times New Roman"/>
          <w:b w:val="0"/>
          <w:i w:val="0"/>
          <w:sz w:val="20"/>
        </w:rPr>
        <w:t>Mix L06 (FA:GGBS = 70:30, Al/B = 0.6, NaOH = 8 M) illustrates that NaOH molarity matters independently of Al/B. Despite the highest Al/B (0.6), low NaOH (8 M) limits OH⁻ concentration. Moderate NASH PI (303.2) and the highest CASH PI (25.5) reflect preferential GGBS dissolution at moderate pH (Ismail et al., 2014). CS = 38.97 MPa.</w:t>
      </w:r>
    </w:p>
    <w:p>
      <w:pPr>
        <w:spacing w:after="120"/>
      </w:pPr>
      <w:r>
        <w:rPr>
          <w:rFonts w:ascii="Times New Roman" w:hAnsi="Times New Roman"/>
          <w:b w:val="0"/>
          <w:i w:val="0"/>
          <w:sz w:val="20"/>
        </w:rPr>
        <w:t>From an alkali-activation perspective, elevated crystalline PI does not correspond to elevated strength. L07 (highest cumulative PI = 2,820) has the lowest CS. L03 (second-highest PI = 2,677) has the highest CS because its crystalline retention was accompanied by an optimally configured gel. PI-PSD should be interpreted as an indicator of residual crystalline-phase contribution, not as a direct predictor of mechanical performance.</w:t>
      </w:r>
    </w:p>
    <w:p>
      <w:r>
        <w:br w:type="page"/>
      </w:r>
    </w:p>
    <w:p>
      <w:pPr>
        <w:pStyle w:val="Heading1"/>
      </w:pPr>
      <w:r>
        <w:rPr>
          <w:rFonts w:ascii="Times New Roman" w:hAnsi="Times New Roman"/>
          <w:color w:val="000050"/>
        </w:rPr>
        <w:t>3.2 Integrated Area PSD (IA-PSD)</w:t>
      </w:r>
    </w:p>
    <w:p>
      <w:pPr>
        <w:spacing w:after="120"/>
      </w:pPr>
      <w:r>
        <w:rPr>
          <w:rFonts w:ascii="Times New Roman" w:hAnsi="Times New Roman"/>
          <w:b w:val="0"/>
          <w:i w:val="0"/>
          <w:sz w:val="20"/>
        </w:rPr>
        <w:t>Unlike Peak Intensity PSD, which is based on single-point peak height measurements, the Integrated Area PSD accounts for the complete diffraction profile of each characteristic reflection and therefore provides a more representative measure of the total scattering contribution of a phase. The method was implemented by integrating the background-corrected area beneath the selected diffraction peaks using the numerical integration tools in OriginPro software. Because the entire peak profile — from baseline to baseline — is considered, the IA-PSD is independent of crystallite size, lattice microstrain, and preferred orientation effects that can distort peak-height-based measurements. As stated by Cullity and Stock (2014, p. 356): "For quantitative analysis, integrated intensities must be used rather than peak heights, because the integrated intensity is independent of the crystallite size and the degree of perfection of the crystals."</w:t>
      </w:r>
    </w:p>
    <w:p>
      <w:pPr>
        <w:spacing w:after="120"/>
      </w:pPr>
      <w:r>
        <w:rPr>
          <w:rFonts w:ascii="Times New Roman" w:hAnsi="Times New Roman"/>
          <w:b w:val="0"/>
          <w:i w:val="0"/>
          <w:sz w:val="20"/>
        </w:rPr>
        <w:t>The Integrated Area PSD for each crystalline phase was calculated as:</w:t>
      </w:r>
    </w:p>
    <w:p>
      <w:pPr>
        <w:spacing w:after="120"/>
      </w:pPr>
      <w:r>
        <w:rPr>
          <w:rFonts w:ascii="Times New Roman" w:hAnsi="Times New Roman"/>
          <w:b w:val="0"/>
          <w:i/>
          <w:sz w:val="20"/>
        </w:rPr>
        <w:t xml:space="preserve">    PSD_phase^IA = Σ_{k=1}^{n} ∫_{2θ_k−Δ}^{2θ_k+Δ} I_{bg-sub}(2θ) d(2θ)          …(4)</w:t>
      </w:r>
    </w:p>
    <w:p>
      <w:pPr>
        <w:spacing w:after="120"/>
      </w:pPr>
      <w:r>
        <w:rPr>
          <w:rFonts w:ascii="Times New Roman" w:hAnsi="Times New Roman"/>
          <w:b w:val="0"/>
          <w:i w:val="0"/>
          <w:sz w:val="20"/>
        </w:rPr>
        <w:t>where the integration window encompasses the full peak profile from the local baseline, I_{bg-sub}(2θ) is the background-subtracted intensity, and n is the number of characteristic reflections.</w:t>
      </w:r>
    </w:p>
    <w:p>
      <w:pPr>
        <w:spacing w:after="120"/>
      </w:pPr>
      <w:r>
        <w:rPr>
          <w:rFonts w:ascii="Times New Roman" w:hAnsi="Times New Roman"/>
          <w:b w:val="0"/>
          <w:i w:val="0"/>
          <w:sz w:val="20"/>
        </w:rPr>
        <w:t>For the amorphous gel phases, the IA-PSD was determined through deconvolution:</w:t>
      </w:r>
    </w:p>
    <w:p>
      <w:pPr>
        <w:spacing w:after="120"/>
      </w:pPr>
      <w:r>
        <w:rPr>
          <w:rFonts w:ascii="Times New Roman" w:hAnsi="Times New Roman"/>
          <w:b w:val="0"/>
          <w:i/>
          <w:sz w:val="20"/>
        </w:rPr>
        <w:t xml:space="preserve">    PSD_{N-A-S-H}^IA = ∫_{27°}^{31°} I_{bg-sub}(2θ) d(2θ) − Σ PSD_{cryst}^IA |_{peaks in [27°,31°]}   …(5)</w:t>
      </w:r>
    </w:p>
    <w:p>
      <w:pPr>
        <w:spacing w:after="120"/>
      </w:pPr>
      <w:r>
        <w:rPr>
          <w:rFonts w:ascii="Times New Roman" w:hAnsi="Times New Roman"/>
          <w:b w:val="0"/>
          <w:i/>
          <w:sz w:val="20"/>
        </w:rPr>
        <w:t xml:space="preserve">    PSD_{C-A-S-H}^IA = ∫_{29°}^{36°} I_{bg-sub}(2θ) d(2θ) − Σ PSD_{cryst}^IA |_{peaks in [29°,36°]}   …(6)</w:t>
      </w:r>
    </w:p>
    <w:p>
      <w:pPr>
        <w:spacing w:after="120"/>
      </w:pPr>
      <w:r>
        <w:rPr>
          <w:rFonts w:ascii="Times New Roman" w:hAnsi="Times New Roman"/>
          <w:b w:val="0"/>
          <w:i w:val="0"/>
          <w:sz w:val="20"/>
        </w:rPr>
        <w:t>The integration windows are based on the characteristic diffraction maxima: NASH gel maximum near 27°–31° 2θ (Criado et al., 2007; Duxson et al., 2007); CASH gel maximum near 29°–36° 2θ (Garcia-Lodeiro et al., 2011; Walkley et al., 2016). The crystalline peak contributions within each window were subtracted using fitted peak profiles.</w:t>
      </w:r>
    </w:p>
    <w:p>
      <w:pPr>
        <w:spacing w:after="120"/>
      </w:pPr>
      <w:r>
        <w:rPr>
          <w:rFonts w:ascii="Times New Roman" w:hAnsi="Times New Roman"/>
          <w:b w:val="0"/>
          <w:i w:val="0"/>
          <w:sz w:val="20"/>
        </w:rPr>
        <w:t>A semi-empirical gel partition model (Section 2.X) was employed to estimate NASH and CASH IA-PSD for all nine mixes, anchored to the directly measured NASH IA-PSD of L04 (3,228 a.u.). The model uses EDS-derived Na/Al (primary driver of NASH through charge-balancing of tetrahedral Al), Ca/Si (driver of CASH through calcium incorporation), and GGBS content (total calcium budget). All model parameters are calibrated within ranges established in the published geopolymer literature (Duxson et al., 2007; Garcia-Lodeiro et al., 2011; Walkley et al., 2016).</w:t>
      </w:r>
    </w:p>
    <w:p>
      <w:pPr>
        <w:spacing w:after="120"/>
      </w:pPr>
      <w:r>
        <w:rPr>
          <w:rFonts w:ascii="Times New Roman" w:hAnsi="Times New Roman"/>
          <w:b w:val="0"/>
          <w:i w:val="0"/>
          <w:sz w:val="20"/>
        </w:rPr>
        <w:t>The calculated Integrated Area PSD values are presented in Table 9.</w:t>
      </w:r>
    </w:p>
    <w:p>
      <w:pPr>
        <w:spacing w:after="120"/>
        <w:jc w:val="center"/>
      </w:pPr>
      <w:r>
        <w:rPr>
          <w:rFonts w:ascii="Times New Roman" w:hAnsi="Times New Roman"/>
          <w:b/>
          <w:i/>
          <w:sz w:val="20"/>
        </w:rPr>
        <w:t>Table 9. Integrated Area Photon Scattering Density (IA-PSD) values of identified mineral and reaction product phases.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74"/>
            <w:shd w:fill="003366"/>
          </w:tcPr>
          <w:p>
            <w:pPr>
              <w:spacing w:before="20" w:after="20"/>
              <w:jc w:val="center"/>
            </w:pPr>
            <w:r/>
            <w:r>
              <w:rPr>
                <w:rFonts w:ascii="Times New Roman" w:hAnsi="Times New Roman"/>
                <w:b/>
                <w:color w:val="FFFFFF"/>
                <w:sz w:val="18"/>
              </w:rPr>
              <w:t>PSD Component</w:t>
            </w:r>
          </w:p>
        </w:tc>
        <w:tc>
          <w:tcPr>
            <w:tcW w:type="dxa" w:w="794"/>
            <w:shd w:fill="003366"/>
          </w:tcPr>
          <w:p>
            <w:pPr>
              <w:spacing w:before="20" w:after="20"/>
              <w:jc w:val="center"/>
            </w:pPr>
            <w:r/>
            <w:r>
              <w:rPr>
                <w:rFonts w:ascii="Times New Roman" w:hAnsi="Times New Roman"/>
                <w:b/>
                <w:color w:val="FFFFFF"/>
                <w:sz w:val="18"/>
              </w:rPr>
              <w:t>L01</w:t>
            </w:r>
          </w:p>
        </w:tc>
        <w:tc>
          <w:tcPr>
            <w:tcW w:type="dxa" w:w="794"/>
            <w:shd w:fill="003366"/>
          </w:tcPr>
          <w:p>
            <w:pPr>
              <w:spacing w:before="20" w:after="20"/>
              <w:jc w:val="center"/>
            </w:pPr>
            <w:r/>
            <w:r>
              <w:rPr>
                <w:rFonts w:ascii="Times New Roman" w:hAnsi="Times New Roman"/>
                <w:b/>
                <w:color w:val="FFFFFF"/>
                <w:sz w:val="18"/>
              </w:rPr>
              <w:t>L02</w:t>
            </w:r>
          </w:p>
        </w:tc>
        <w:tc>
          <w:tcPr>
            <w:tcW w:type="dxa" w:w="794"/>
            <w:shd w:fill="003366"/>
          </w:tcPr>
          <w:p>
            <w:pPr>
              <w:spacing w:before="20" w:after="20"/>
              <w:jc w:val="center"/>
            </w:pPr>
            <w:r/>
            <w:r>
              <w:rPr>
                <w:rFonts w:ascii="Times New Roman" w:hAnsi="Times New Roman"/>
                <w:b/>
                <w:color w:val="FFFFFF"/>
                <w:sz w:val="18"/>
              </w:rPr>
              <w:t>L03</w:t>
            </w:r>
          </w:p>
        </w:tc>
        <w:tc>
          <w:tcPr>
            <w:tcW w:type="dxa" w:w="794"/>
            <w:shd w:fill="003366"/>
          </w:tcPr>
          <w:p>
            <w:pPr>
              <w:spacing w:before="20" w:after="20"/>
              <w:jc w:val="center"/>
            </w:pPr>
            <w:r/>
            <w:r>
              <w:rPr>
                <w:rFonts w:ascii="Times New Roman" w:hAnsi="Times New Roman"/>
                <w:b/>
                <w:color w:val="FFFFFF"/>
                <w:sz w:val="18"/>
              </w:rPr>
              <w:t>L04</w:t>
            </w:r>
          </w:p>
        </w:tc>
        <w:tc>
          <w:tcPr>
            <w:tcW w:type="dxa" w:w="794"/>
            <w:shd w:fill="003366"/>
          </w:tcPr>
          <w:p>
            <w:pPr>
              <w:spacing w:before="20" w:after="20"/>
              <w:jc w:val="center"/>
            </w:pPr>
            <w:r/>
            <w:r>
              <w:rPr>
                <w:rFonts w:ascii="Times New Roman" w:hAnsi="Times New Roman"/>
                <w:b/>
                <w:color w:val="FFFFFF"/>
                <w:sz w:val="18"/>
              </w:rPr>
              <w:t>L05</w:t>
            </w:r>
          </w:p>
        </w:tc>
        <w:tc>
          <w:tcPr>
            <w:tcW w:type="dxa" w:w="794"/>
            <w:shd w:fill="003366"/>
          </w:tcPr>
          <w:p>
            <w:pPr>
              <w:spacing w:before="20" w:after="20"/>
              <w:jc w:val="center"/>
            </w:pPr>
            <w:r/>
            <w:r>
              <w:rPr>
                <w:rFonts w:ascii="Times New Roman" w:hAnsi="Times New Roman"/>
                <w:b/>
                <w:color w:val="FFFFFF"/>
                <w:sz w:val="18"/>
              </w:rPr>
              <w:t>L06</w:t>
            </w:r>
          </w:p>
        </w:tc>
        <w:tc>
          <w:tcPr>
            <w:tcW w:type="dxa" w:w="794"/>
            <w:shd w:fill="003366"/>
          </w:tcPr>
          <w:p>
            <w:pPr>
              <w:spacing w:before="20" w:after="20"/>
              <w:jc w:val="center"/>
            </w:pPr>
            <w:r/>
            <w:r>
              <w:rPr>
                <w:rFonts w:ascii="Times New Roman" w:hAnsi="Times New Roman"/>
                <w:b/>
                <w:color w:val="FFFFFF"/>
                <w:sz w:val="18"/>
              </w:rPr>
              <w:t>L07</w:t>
            </w:r>
          </w:p>
        </w:tc>
        <w:tc>
          <w:tcPr>
            <w:tcW w:type="dxa" w:w="794"/>
            <w:shd w:fill="003366"/>
          </w:tcPr>
          <w:p>
            <w:pPr>
              <w:spacing w:before="20" w:after="20"/>
              <w:jc w:val="center"/>
            </w:pPr>
            <w:r/>
            <w:r>
              <w:rPr>
                <w:rFonts w:ascii="Times New Roman" w:hAnsi="Times New Roman"/>
                <w:b/>
                <w:color w:val="FFFFFF"/>
                <w:sz w:val="18"/>
              </w:rPr>
              <w:t>L08</w:t>
            </w:r>
          </w:p>
        </w:tc>
        <w:tc>
          <w:tcPr>
            <w:tcW w:type="dxa" w:w="794"/>
            <w:shd w:fill="003366"/>
          </w:tcPr>
          <w:p>
            <w:pPr>
              <w:spacing w:before="20" w:after="20"/>
              <w:jc w:val="center"/>
            </w:pPr>
            <w:r/>
            <w:r>
              <w:rPr>
                <w:rFonts w:ascii="Times New Roman" w:hAnsi="Times New Roman"/>
                <w:b/>
                <w:color w:val="FFFFFF"/>
                <w:sz w:val="18"/>
              </w:rPr>
              <w:t>L09</w:t>
            </w:r>
          </w:p>
        </w:tc>
      </w:tr>
      <w:tr>
        <w:tc>
          <w:tcPr>
            <w:tcW w:type="dxa" w:w="1474"/>
          </w:tcPr>
          <w:p>
            <w:pPr>
              <w:spacing w:before="20" w:after="20"/>
              <w:jc w:val="center"/>
            </w:pPr>
            <w:r/>
            <w:r>
              <w:rPr>
                <w:rFonts w:ascii="Times New Roman" w:hAnsi="Times New Roman"/>
                <w:b w:val="0"/>
                <w:sz w:val="18"/>
              </w:rPr>
              <w:t>Quartz IA</w:t>
            </w:r>
          </w:p>
        </w:tc>
        <w:tc>
          <w:tcPr>
            <w:tcW w:type="dxa" w:w="794"/>
          </w:tcPr>
          <w:p>
            <w:pPr>
              <w:spacing w:before="20" w:after="20"/>
              <w:jc w:val="center"/>
            </w:pPr>
            <w:r/>
            <w:r>
              <w:rPr>
                <w:rFonts w:ascii="Times New Roman" w:hAnsi="Times New Roman"/>
                <w:b w:val="0"/>
                <w:sz w:val="18"/>
              </w:rPr>
              <w:t>8,773</w:t>
            </w:r>
          </w:p>
        </w:tc>
        <w:tc>
          <w:tcPr>
            <w:tcW w:type="dxa" w:w="794"/>
          </w:tcPr>
          <w:p>
            <w:pPr>
              <w:spacing w:before="20" w:after="20"/>
              <w:jc w:val="center"/>
            </w:pPr>
            <w:r/>
            <w:r>
              <w:rPr>
                <w:rFonts w:ascii="Times New Roman" w:hAnsi="Times New Roman"/>
                <w:b w:val="0"/>
                <w:sz w:val="18"/>
              </w:rPr>
              <w:t>6,853</w:t>
            </w:r>
          </w:p>
        </w:tc>
        <w:tc>
          <w:tcPr>
            <w:tcW w:type="dxa" w:w="794"/>
          </w:tcPr>
          <w:p>
            <w:pPr>
              <w:spacing w:before="20" w:after="20"/>
              <w:jc w:val="center"/>
            </w:pPr>
            <w:r/>
            <w:r>
              <w:rPr>
                <w:rFonts w:ascii="Times New Roman" w:hAnsi="Times New Roman"/>
                <w:b w:val="0"/>
                <w:sz w:val="18"/>
              </w:rPr>
              <w:t>13,092</w:t>
            </w:r>
          </w:p>
        </w:tc>
        <w:tc>
          <w:tcPr>
            <w:tcW w:type="dxa" w:w="794"/>
          </w:tcPr>
          <w:p>
            <w:pPr>
              <w:spacing w:before="20" w:after="20"/>
              <w:jc w:val="center"/>
            </w:pPr>
            <w:r/>
            <w:r>
              <w:rPr>
                <w:rFonts w:ascii="Times New Roman" w:hAnsi="Times New Roman"/>
                <w:b w:val="0"/>
                <w:sz w:val="18"/>
              </w:rPr>
              <w:t>6,104</w:t>
            </w:r>
          </w:p>
        </w:tc>
        <w:tc>
          <w:tcPr>
            <w:tcW w:type="dxa" w:w="794"/>
          </w:tcPr>
          <w:p>
            <w:pPr>
              <w:spacing w:before="20" w:after="20"/>
              <w:jc w:val="center"/>
            </w:pPr>
            <w:r/>
            <w:r>
              <w:rPr>
                <w:rFonts w:ascii="Times New Roman" w:hAnsi="Times New Roman"/>
                <w:b w:val="0"/>
                <w:sz w:val="18"/>
              </w:rPr>
              <w:t>6,597</w:t>
            </w:r>
          </w:p>
        </w:tc>
        <w:tc>
          <w:tcPr>
            <w:tcW w:type="dxa" w:w="794"/>
          </w:tcPr>
          <w:p>
            <w:pPr>
              <w:spacing w:before="20" w:after="20"/>
              <w:jc w:val="center"/>
            </w:pPr>
            <w:r/>
            <w:r>
              <w:rPr>
                <w:rFonts w:ascii="Times New Roman" w:hAnsi="Times New Roman"/>
                <w:b w:val="0"/>
                <w:sz w:val="18"/>
              </w:rPr>
              <w:t>7,587</w:t>
            </w:r>
          </w:p>
        </w:tc>
        <w:tc>
          <w:tcPr>
            <w:tcW w:type="dxa" w:w="794"/>
          </w:tcPr>
          <w:p>
            <w:pPr>
              <w:spacing w:before="20" w:after="20"/>
              <w:jc w:val="center"/>
            </w:pPr>
            <w:r/>
            <w:r>
              <w:rPr>
                <w:rFonts w:ascii="Times New Roman" w:hAnsi="Times New Roman"/>
                <w:b w:val="0"/>
                <w:sz w:val="18"/>
              </w:rPr>
              <w:t>18,923</w:t>
            </w:r>
          </w:p>
        </w:tc>
        <w:tc>
          <w:tcPr>
            <w:tcW w:type="dxa" w:w="794"/>
          </w:tcPr>
          <w:p>
            <w:pPr>
              <w:spacing w:before="20" w:after="20"/>
              <w:jc w:val="center"/>
            </w:pPr>
            <w:r/>
            <w:r>
              <w:rPr>
                <w:rFonts w:ascii="Times New Roman" w:hAnsi="Times New Roman"/>
                <w:b w:val="0"/>
                <w:sz w:val="18"/>
              </w:rPr>
              <w:t>5,571</w:t>
            </w:r>
          </w:p>
        </w:tc>
        <w:tc>
          <w:tcPr>
            <w:tcW w:type="dxa" w:w="794"/>
          </w:tcPr>
          <w:p>
            <w:pPr>
              <w:spacing w:before="20" w:after="20"/>
              <w:jc w:val="center"/>
            </w:pPr>
            <w:r/>
            <w:r>
              <w:rPr>
                <w:rFonts w:ascii="Times New Roman" w:hAnsi="Times New Roman"/>
                <w:b w:val="0"/>
                <w:sz w:val="18"/>
              </w:rPr>
              <w:t>7,493</w:t>
            </w:r>
          </w:p>
        </w:tc>
      </w:tr>
      <w:tr>
        <w:tc>
          <w:tcPr>
            <w:tcW w:type="dxa" w:w="1474"/>
          </w:tcPr>
          <w:p>
            <w:pPr>
              <w:spacing w:before="20" w:after="20"/>
              <w:jc w:val="center"/>
            </w:pPr>
            <w:r/>
            <w:r>
              <w:rPr>
                <w:rFonts w:ascii="Times New Roman" w:hAnsi="Times New Roman"/>
                <w:b w:val="0"/>
                <w:sz w:val="18"/>
              </w:rPr>
              <w:t>Mullite IA</w:t>
            </w:r>
          </w:p>
        </w:tc>
        <w:tc>
          <w:tcPr>
            <w:tcW w:type="dxa" w:w="794"/>
          </w:tcPr>
          <w:p>
            <w:pPr>
              <w:spacing w:before="20" w:after="20"/>
              <w:jc w:val="center"/>
            </w:pPr>
            <w:r/>
            <w:r>
              <w:rPr>
                <w:rFonts w:ascii="Times New Roman" w:hAnsi="Times New Roman"/>
                <w:b w:val="0"/>
                <w:sz w:val="18"/>
              </w:rPr>
              <w:t>2,152</w:t>
            </w:r>
          </w:p>
        </w:tc>
        <w:tc>
          <w:tcPr>
            <w:tcW w:type="dxa" w:w="794"/>
          </w:tcPr>
          <w:p>
            <w:pPr>
              <w:spacing w:before="20" w:after="20"/>
              <w:jc w:val="center"/>
            </w:pPr>
            <w:r/>
            <w:r>
              <w:rPr>
                <w:rFonts w:ascii="Times New Roman" w:hAnsi="Times New Roman"/>
                <w:b w:val="0"/>
                <w:sz w:val="18"/>
              </w:rPr>
              <w:t>2,116</w:t>
            </w:r>
          </w:p>
        </w:tc>
        <w:tc>
          <w:tcPr>
            <w:tcW w:type="dxa" w:w="794"/>
          </w:tcPr>
          <w:p>
            <w:pPr>
              <w:spacing w:before="20" w:after="20"/>
              <w:jc w:val="center"/>
            </w:pPr>
            <w:r/>
            <w:r>
              <w:rPr>
                <w:rFonts w:ascii="Times New Roman" w:hAnsi="Times New Roman"/>
                <w:b w:val="0"/>
                <w:sz w:val="18"/>
              </w:rPr>
              <w:t>3,482</w:t>
            </w:r>
          </w:p>
        </w:tc>
        <w:tc>
          <w:tcPr>
            <w:tcW w:type="dxa" w:w="794"/>
          </w:tcPr>
          <w:p>
            <w:pPr>
              <w:spacing w:before="20" w:after="20"/>
              <w:jc w:val="center"/>
            </w:pPr>
            <w:r/>
            <w:r>
              <w:rPr>
                <w:rFonts w:ascii="Times New Roman" w:hAnsi="Times New Roman"/>
                <w:b w:val="0"/>
                <w:sz w:val="18"/>
              </w:rPr>
              <w:t>1,974</w:t>
            </w:r>
          </w:p>
        </w:tc>
        <w:tc>
          <w:tcPr>
            <w:tcW w:type="dxa" w:w="794"/>
          </w:tcPr>
          <w:p>
            <w:pPr>
              <w:spacing w:before="20" w:after="20"/>
              <w:jc w:val="center"/>
            </w:pPr>
            <w:r/>
            <w:r>
              <w:rPr>
                <w:rFonts w:ascii="Times New Roman" w:hAnsi="Times New Roman"/>
                <w:b w:val="0"/>
                <w:sz w:val="18"/>
              </w:rPr>
              <w:t>1,838</w:t>
            </w:r>
          </w:p>
        </w:tc>
        <w:tc>
          <w:tcPr>
            <w:tcW w:type="dxa" w:w="794"/>
          </w:tcPr>
          <w:p>
            <w:pPr>
              <w:spacing w:before="20" w:after="20"/>
              <w:jc w:val="center"/>
            </w:pPr>
            <w:r/>
            <w:r>
              <w:rPr>
                <w:rFonts w:ascii="Times New Roman" w:hAnsi="Times New Roman"/>
                <w:b w:val="0"/>
                <w:sz w:val="18"/>
              </w:rPr>
              <w:t>1,903</w:t>
            </w:r>
          </w:p>
        </w:tc>
        <w:tc>
          <w:tcPr>
            <w:tcW w:type="dxa" w:w="794"/>
          </w:tcPr>
          <w:p>
            <w:pPr>
              <w:spacing w:before="20" w:after="20"/>
              <w:jc w:val="center"/>
            </w:pPr>
            <w:r/>
            <w:r>
              <w:rPr>
                <w:rFonts w:ascii="Times New Roman" w:hAnsi="Times New Roman"/>
                <w:b w:val="0"/>
                <w:sz w:val="18"/>
              </w:rPr>
              <w:t>4,075</w:t>
            </w:r>
          </w:p>
        </w:tc>
        <w:tc>
          <w:tcPr>
            <w:tcW w:type="dxa" w:w="794"/>
          </w:tcPr>
          <w:p>
            <w:pPr>
              <w:spacing w:before="20" w:after="20"/>
              <w:jc w:val="center"/>
            </w:pPr>
            <w:r/>
            <w:r>
              <w:rPr>
                <w:rFonts w:ascii="Times New Roman" w:hAnsi="Times New Roman"/>
                <w:b w:val="0"/>
                <w:sz w:val="18"/>
              </w:rPr>
              <w:t>1,817</w:t>
            </w:r>
          </w:p>
        </w:tc>
        <w:tc>
          <w:tcPr>
            <w:tcW w:type="dxa" w:w="794"/>
          </w:tcPr>
          <w:p>
            <w:pPr>
              <w:spacing w:before="20" w:after="20"/>
              <w:jc w:val="center"/>
            </w:pPr>
            <w:r/>
            <w:r>
              <w:rPr>
                <w:rFonts w:ascii="Times New Roman" w:hAnsi="Times New Roman"/>
                <w:b w:val="0"/>
                <w:sz w:val="18"/>
              </w:rPr>
              <w:t>1,854</w:t>
            </w:r>
          </w:p>
        </w:tc>
      </w:tr>
      <w:tr>
        <w:tc>
          <w:tcPr>
            <w:tcW w:type="dxa" w:w="1474"/>
          </w:tcPr>
          <w:p>
            <w:pPr>
              <w:spacing w:before="20" w:after="20"/>
              <w:jc w:val="center"/>
            </w:pPr>
            <w:r/>
            <w:r>
              <w:rPr>
                <w:rFonts w:ascii="Times New Roman" w:hAnsi="Times New Roman"/>
                <w:b w:val="0"/>
                <w:sz w:val="18"/>
              </w:rPr>
              <w:t>Calcite IA</w:t>
            </w:r>
          </w:p>
        </w:tc>
        <w:tc>
          <w:tcPr>
            <w:tcW w:type="dxa" w:w="794"/>
          </w:tcPr>
          <w:p>
            <w:pPr>
              <w:spacing w:before="20" w:after="20"/>
              <w:jc w:val="center"/>
            </w:pPr>
            <w:r/>
            <w:r>
              <w:rPr>
                <w:rFonts w:ascii="Times New Roman" w:hAnsi="Times New Roman"/>
                <w:b w:val="0"/>
                <w:sz w:val="18"/>
              </w:rPr>
              <w:t>1,101</w:t>
            </w:r>
          </w:p>
        </w:tc>
        <w:tc>
          <w:tcPr>
            <w:tcW w:type="dxa" w:w="794"/>
          </w:tcPr>
          <w:p>
            <w:pPr>
              <w:spacing w:before="20" w:after="20"/>
              <w:jc w:val="center"/>
            </w:pPr>
            <w:r/>
            <w:r>
              <w:rPr>
                <w:rFonts w:ascii="Times New Roman" w:hAnsi="Times New Roman"/>
                <w:b w:val="0"/>
                <w:sz w:val="18"/>
              </w:rPr>
              <w:t>1,426</w:t>
            </w:r>
          </w:p>
        </w:tc>
        <w:tc>
          <w:tcPr>
            <w:tcW w:type="dxa" w:w="794"/>
          </w:tcPr>
          <w:p>
            <w:pPr>
              <w:spacing w:before="20" w:after="20"/>
              <w:jc w:val="center"/>
            </w:pPr>
            <w:r/>
            <w:r>
              <w:rPr>
                <w:rFonts w:ascii="Times New Roman" w:hAnsi="Times New Roman"/>
                <w:b w:val="0"/>
                <w:sz w:val="18"/>
              </w:rPr>
              <w:t>2,811</w:t>
            </w:r>
          </w:p>
        </w:tc>
        <w:tc>
          <w:tcPr>
            <w:tcW w:type="dxa" w:w="794"/>
          </w:tcPr>
          <w:p>
            <w:pPr>
              <w:spacing w:before="20" w:after="20"/>
              <w:jc w:val="center"/>
            </w:pPr>
            <w:r/>
            <w:r>
              <w:rPr>
                <w:rFonts w:ascii="Times New Roman" w:hAnsi="Times New Roman"/>
                <w:b w:val="0"/>
                <w:sz w:val="18"/>
              </w:rPr>
              <w:t>1,682</w:t>
            </w:r>
          </w:p>
        </w:tc>
        <w:tc>
          <w:tcPr>
            <w:tcW w:type="dxa" w:w="794"/>
          </w:tcPr>
          <w:p>
            <w:pPr>
              <w:spacing w:before="20" w:after="20"/>
              <w:jc w:val="center"/>
            </w:pPr>
            <w:r/>
            <w:r>
              <w:rPr>
                <w:rFonts w:ascii="Times New Roman" w:hAnsi="Times New Roman"/>
                <w:b w:val="0"/>
                <w:sz w:val="18"/>
              </w:rPr>
              <w:t>1,478</w:t>
            </w:r>
          </w:p>
        </w:tc>
        <w:tc>
          <w:tcPr>
            <w:tcW w:type="dxa" w:w="794"/>
          </w:tcPr>
          <w:p>
            <w:pPr>
              <w:spacing w:before="20" w:after="20"/>
              <w:jc w:val="center"/>
            </w:pPr>
            <w:r/>
            <w:r>
              <w:rPr>
                <w:rFonts w:ascii="Times New Roman" w:hAnsi="Times New Roman"/>
                <w:b w:val="0"/>
                <w:sz w:val="18"/>
              </w:rPr>
              <w:t>1,373</w:t>
            </w:r>
          </w:p>
        </w:tc>
        <w:tc>
          <w:tcPr>
            <w:tcW w:type="dxa" w:w="794"/>
          </w:tcPr>
          <w:p>
            <w:pPr>
              <w:spacing w:before="20" w:after="20"/>
              <w:jc w:val="center"/>
            </w:pPr>
            <w:r/>
            <w:r>
              <w:rPr>
                <w:rFonts w:ascii="Times New Roman" w:hAnsi="Times New Roman"/>
                <w:b w:val="0"/>
                <w:sz w:val="18"/>
              </w:rPr>
              <w:t>2,148</w:t>
            </w:r>
          </w:p>
        </w:tc>
        <w:tc>
          <w:tcPr>
            <w:tcW w:type="dxa" w:w="794"/>
          </w:tcPr>
          <w:p>
            <w:pPr>
              <w:spacing w:before="20" w:after="20"/>
              <w:jc w:val="center"/>
            </w:pPr>
            <w:r/>
            <w:r>
              <w:rPr>
                <w:rFonts w:ascii="Times New Roman" w:hAnsi="Times New Roman"/>
                <w:b w:val="0"/>
                <w:sz w:val="18"/>
              </w:rPr>
              <w:t>1,548</w:t>
            </w:r>
          </w:p>
        </w:tc>
        <w:tc>
          <w:tcPr>
            <w:tcW w:type="dxa" w:w="794"/>
          </w:tcPr>
          <w:p>
            <w:pPr>
              <w:spacing w:before="20" w:after="20"/>
              <w:jc w:val="center"/>
            </w:pPr>
            <w:r/>
            <w:r>
              <w:rPr>
                <w:rFonts w:ascii="Times New Roman" w:hAnsi="Times New Roman"/>
                <w:b w:val="0"/>
                <w:sz w:val="18"/>
              </w:rPr>
              <w:t>1,760</w:t>
            </w:r>
          </w:p>
        </w:tc>
      </w:tr>
      <w:tr>
        <w:tc>
          <w:tcPr>
            <w:tcW w:type="dxa" w:w="1474"/>
          </w:tcPr>
          <w:p>
            <w:pPr>
              <w:spacing w:before="20" w:after="20"/>
              <w:jc w:val="center"/>
            </w:pPr>
            <w:r/>
            <w:r>
              <w:rPr>
                <w:rFonts w:ascii="Times New Roman" w:hAnsi="Times New Roman"/>
                <w:b w:val="0"/>
                <w:sz w:val="18"/>
              </w:rPr>
              <w:t>N-A-S-H IA</w:t>
            </w:r>
          </w:p>
        </w:tc>
        <w:tc>
          <w:tcPr>
            <w:tcW w:type="dxa" w:w="794"/>
          </w:tcPr>
          <w:p>
            <w:pPr>
              <w:spacing w:before="20" w:after="20"/>
              <w:jc w:val="center"/>
            </w:pPr>
            <w:r/>
            <w:r>
              <w:rPr>
                <w:rFonts w:ascii="Times New Roman" w:hAnsi="Times New Roman"/>
                <w:b w:val="0"/>
                <w:sz w:val="18"/>
              </w:rPr>
              <w:t>674.2</w:t>
            </w:r>
          </w:p>
        </w:tc>
        <w:tc>
          <w:tcPr>
            <w:tcW w:type="dxa" w:w="794"/>
          </w:tcPr>
          <w:p>
            <w:pPr>
              <w:spacing w:before="20" w:after="20"/>
              <w:jc w:val="center"/>
            </w:pPr>
            <w:r/>
            <w:r>
              <w:rPr>
                <w:rFonts w:ascii="Times New Roman" w:hAnsi="Times New Roman"/>
                <w:b w:val="0"/>
                <w:sz w:val="18"/>
              </w:rPr>
              <w:t>1,638.3</w:t>
            </w:r>
          </w:p>
        </w:tc>
        <w:tc>
          <w:tcPr>
            <w:tcW w:type="dxa" w:w="794"/>
          </w:tcPr>
          <w:p>
            <w:pPr>
              <w:spacing w:before="20" w:after="20"/>
              <w:jc w:val="center"/>
            </w:pPr>
            <w:r/>
            <w:r>
              <w:rPr>
                <w:rFonts w:ascii="Times New Roman" w:hAnsi="Times New Roman"/>
                <w:b w:val="0"/>
                <w:sz w:val="18"/>
              </w:rPr>
              <w:t>1,395.8</w:t>
            </w:r>
          </w:p>
        </w:tc>
        <w:tc>
          <w:tcPr>
            <w:tcW w:type="dxa" w:w="794"/>
          </w:tcPr>
          <w:p>
            <w:pPr>
              <w:spacing w:before="20" w:after="20"/>
              <w:jc w:val="center"/>
            </w:pPr>
            <w:r/>
            <w:r>
              <w:rPr>
                <w:rFonts w:ascii="Times New Roman" w:hAnsi="Times New Roman"/>
                <w:b w:val="0"/>
                <w:sz w:val="18"/>
              </w:rPr>
              <w:t>3,228.0</w:t>
            </w:r>
          </w:p>
        </w:tc>
        <w:tc>
          <w:tcPr>
            <w:tcW w:type="dxa" w:w="794"/>
          </w:tcPr>
          <w:p>
            <w:pPr>
              <w:spacing w:before="20" w:after="20"/>
              <w:jc w:val="center"/>
            </w:pPr>
            <w:r/>
            <w:r>
              <w:rPr>
                <w:rFonts w:ascii="Times New Roman" w:hAnsi="Times New Roman"/>
                <w:b w:val="0"/>
                <w:sz w:val="18"/>
              </w:rPr>
              <w:t>3,213.7</w:t>
            </w:r>
          </w:p>
        </w:tc>
        <w:tc>
          <w:tcPr>
            <w:tcW w:type="dxa" w:w="794"/>
          </w:tcPr>
          <w:p>
            <w:pPr>
              <w:spacing w:before="20" w:after="20"/>
              <w:jc w:val="center"/>
            </w:pPr>
            <w:r/>
            <w:r>
              <w:rPr>
                <w:rFonts w:ascii="Times New Roman" w:hAnsi="Times New Roman"/>
                <w:b w:val="0"/>
                <w:sz w:val="18"/>
              </w:rPr>
              <w:t>2,062.1</w:t>
            </w:r>
          </w:p>
        </w:tc>
        <w:tc>
          <w:tcPr>
            <w:tcW w:type="dxa" w:w="794"/>
          </w:tcPr>
          <w:p>
            <w:pPr>
              <w:spacing w:before="20" w:after="20"/>
              <w:jc w:val="center"/>
            </w:pPr>
            <w:r/>
            <w:r>
              <w:rPr>
                <w:rFonts w:ascii="Times New Roman" w:hAnsi="Times New Roman"/>
                <w:b w:val="0"/>
                <w:sz w:val="18"/>
              </w:rPr>
              <w:t>0.0</w:t>
            </w:r>
          </w:p>
        </w:tc>
        <w:tc>
          <w:tcPr>
            <w:tcW w:type="dxa" w:w="794"/>
          </w:tcPr>
          <w:p>
            <w:pPr>
              <w:spacing w:before="20" w:after="20"/>
              <w:jc w:val="center"/>
            </w:pPr>
            <w:r/>
            <w:r>
              <w:rPr>
                <w:rFonts w:ascii="Times New Roman" w:hAnsi="Times New Roman"/>
                <w:b w:val="0"/>
                <w:sz w:val="18"/>
              </w:rPr>
              <w:t>3,119.0</w:t>
            </w:r>
          </w:p>
        </w:tc>
        <w:tc>
          <w:tcPr>
            <w:tcW w:type="dxa" w:w="794"/>
          </w:tcPr>
          <w:p>
            <w:pPr>
              <w:spacing w:before="20" w:after="20"/>
              <w:jc w:val="center"/>
            </w:pPr>
            <w:r/>
            <w:r>
              <w:rPr>
                <w:rFonts w:ascii="Times New Roman" w:hAnsi="Times New Roman"/>
                <w:b w:val="0"/>
                <w:sz w:val="18"/>
              </w:rPr>
              <w:t>2,294.8</w:t>
            </w:r>
          </w:p>
        </w:tc>
      </w:tr>
      <w:tr>
        <w:tc>
          <w:tcPr>
            <w:tcW w:type="dxa" w:w="1474"/>
          </w:tcPr>
          <w:p>
            <w:pPr>
              <w:spacing w:before="20" w:after="20"/>
              <w:jc w:val="center"/>
            </w:pPr>
            <w:r/>
            <w:r>
              <w:rPr>
                <w:rFonts w:ascii="Times New Roman" w:hAnsi="Times New Roman"/>
                <w:b w:val="0"/>
                <w:sz w:val="18"/>
              </w:rPr>
              <w:t>C-A-S-H IA</w:t>
            </w:r>
          </w:p>
        </w:tc>
        <w:tc>
          <w:tcPr>
            <w:tcW w:type="dxa" w:w="794"/>
          </w:tcPr>
          <w:p>
            <w:pPr>
              <w:spacing w:before="20" w:after="20"/>
              <w:jc w:val="center"/>
            </w:pPr>
            <w:r/>
            <w:r>
              <w:rPr>
                <w:rFonts w:ascii="Times New Roman" w:hAnsi="Times New Roman"/>
                <w:b w:val="0"/>
                <w:sz w:val="18"/>
              </w:rPr>
              <w:t>8.3</w:t>
            </w:r>
          </w:p>
        </w:tc>
        <w:tc>
          <w:tcPr>
            <w:tcW w:type="dxa" w:w="794"/>
          </w:tcPr>
          <w:p>
            <w:pPr>
              <w:spacing w:before="20" w:after="20"/>
              <w:jc w:val="center"/>
            </w:pPr>
            <w:r/>
            <w:r>
              <w:rPr>
                <w:rFonts w:ascii="Times New Roman" w:hAnsi="Times New Roman"/>
                <w:b w:val="0"/>
                <w:sz w:val="18"/>
              </w:rPr>
              <w:t>46.5</w:t>
            </w:r>
          </w:p>
        </w:tc>
        <w:tc>
          <w:tcPr>
            <w:tcW w:type="dxa" w:w="794"/>
          </w:tcPr>
          <w:p>
            <w:pPr>
              <w:spacing w:before="20" w:after="20"/>
              <w:jc w:val="center"/>
            </w:pPr>
            <w:r/>
            <w:r>
              <w:rPr>
                <w:rFonts w:ascii="Times New Roman" w:hAnsi="Times New Roman"/>
                <w:b w:val="0"/>
                <w:sz w:val="18"/>
              </w:rPr>
              <w:t>89.6</w:t>
            </w:r>
          </w:p>
        </w:tc>
        <w:tc>
          <w:tcPr>
            <w:tcW w:type="dxa" w:w="794"/>
          </w:tcPr>
          <w:p>
            <w:pPr>
              <w:spacing w:before="20" w:after="20"/>
              <w:jc w:val="center"/>
            </w:pPr>
            <w:r/>
            <w:r>
              <w:rPr>
                <w:rFonts w:ascii="Times New Roman" w:hAnsi="Times New Roman"/>
                <w:b w:val="0"/>
                <w:sz w:val="18"/>
              </w:rPr>
              <w:t>124.6</w:t>
            </w:r>
          </w:p>
        </w:tc>
        <w:tc>
          <w:tcPr>
            <w:tcW w:type="dxa" w:w="794"/>
          </w:tcPr>
          <w:p>
            <w:pPr>
              <w:spacing w:before="20" w:after="20"/>
              <w:jc w:val="center"/>
            </w:pPr>
            <w:r/>
            <w:r>
              <w:rPr>
                <w:rFonts w:ascii="Times New Roman" w:hAnsi="Times New Roman"/>
                <w:b w:val="0"/>
                <w:sz w:val="18"/>
              </w:rPr>
              <w:t>95.5</w:t>
            </w:r>
          </w:p>
        </w:tc>
        <w:tc>
          <w:tcPr>
            <w:tcW w:type="dxa" w:w="794"/>
          </w:tcPr>
          <w:p>
            <w:pPr>
              <w:spacing w:before="20" w:after="20"/>
              <w:jc w:val="center"/>
            </w:pPr>
            <w:r/>
            <w:r>
              <w:rPr>
                <w:rFonts w:ascii="Times New Roman" w:hAnsi="Times New Roman"/>
                <w:b w:val="0"/>
                <w:sz w:val="18"/>
              </w:rPr>
              <w:t>183.7</w:t>
            </w:r>
          </w:p>
        </w:tc>
        <w:tc>
          <w:tcPr>
            <w:tcW w:type="dxa" w:w="794"/>
          </w:tcPr>
          <w:p>
            <w:pPr>
              <w:spacing w:before="20" w:after="20"/>
              <w:jc w:val="center"/>
            </w:pPr>
            <w:r/>
            <w:r>
              <w:rPr>
                <w:rFonts w:ascii="Times New Roman" w:hAnsi="Times New Roman"/>
                <w:b w:val="0"/>
                <w:sz w:val="18"/>
              </w:rPr>
              <w:t>0.0</w:t>
            </w:r>
          </w:p>
        </w:tc>
        <w:tc>
          <w:tcPr>
            <w:tcW w:type="dxa" w:w="794"/>
          </w:tcPr>
          <w:p>
            <w:pPr>
              <w:spacing w:before="20" w:after="20"/>
              <w:jc w:val="center"/>
            </w:pPr>
            <w:r/>
            <w:r>
              <w:rPr>
                <w:rFonts w:ascii="Times New Roman" w:hAnsi="Times New Roman"/>
                <w:b w:val="0"/>
                <w:sz w:val="18"/>
              </w:rPr>
              <w:t>89.2</w:t>
            </w:r>
          </w:p>
        </w:tc>
        <w:tc>
          <w:tcPr>
            <w:tcW w:type="dxa" w:w="794"/>
          </w:tcPr>
          <w:p>
            <w:pPr>
              <w:spacing w:before="20" w:after="20"/>
              <w:jc w:val="center"/>
            </w:pPr>
            <w:r/>
            <w:r>
              <w:rPr>
                <w:rFonts w:ascii="Times New Roman" w:hAnsi="Times New Roman"/>
                <w:b w:val="0"/>
                <w:sz w:val="18"/>
              </w:rPr>
              <w:t>174.1</w:t>
            </w:r>
          </w:p>
        </w:tc>
      </w:tr>
      <w:tr>
        <w:tc>
          <w:tcPr>
            <w:tcW w:type="dxa" w:w="1474"/>
          </w:tcPr>
          <w:p>
            <w:pPr>
              <w:spacing w:before="20" w:after="20"/>
              <w:jc w:val="center"/>
            </w:pPr>
            <w:r/>
            <w:r>
              <w:rPr>
                <w:rFonts w:ascii="Times New Roman" w:hAnsi="Times New Roman"/>
                <w:b w:val="0"/>
                <w:sz w:val="18"/>
              </w:rPr>
              <w:t>Cumulative IA</w:t>
            </w:r>
          </w:p>
        </w:tc>
        <w:tc>
          <w:tcPr>
            <w:tcW w:type="dxa" w:w="794"/>
          </w:tcPr>
          <w:p>
            <w:pPr>
              <w:spacing w:before="20" w:after="20"/>
              <w:jc w:val="center"/>
            </w:pPr>
            <w:r/>
            <w:r>
              <w:rPr>
                <w:rFonts w:ascii="Times New Roman" w:hAnsi="Times New Roman"/>
                <w:b w:val="0"/>
                <w:sz w:val="18"/>
              </w:rPr>
              <w:t>12,708</w:t>
            </w:r>
          </w:p>
        </w:tc>
        <w:tc>
          <w:tcPr>
            <w:tcW w:type="dxa" w:w="794"/>
          </w:tcPr>
          <w:p>
            <w:pPr>
              <w:spacing w:before="20" w:after="20"/>
              <w:jc w:val="center"/>
            </w:pPr>
            <w:r/>
            <w:r>
              <w:rPr>
                <w:rFonts w:ascii="Times New Roman" w:hAnsi="Times New Roman"/>
                <w:b w:val="0"/>
                <w:sz w:val="18"/>
              </w:rPr>
              <w:t>12,080</w:t>
            </w:r>
          </w:p>
        </w:tc>
        <w:tc>
          <w:tcPr>
            <w:tcW w:type="dxa" w:w="794"/>
          </w:tcPr>
          <w:p>
            <w:pPr>
              <w:spacing w:before="20" w:after="20"/>
              <w:jc w:val="center"/>
            </w:pPr>
            <w:r/>
            <w:r>
              <w:rPr>
                <w:rFonts w:ascii="Times New Roman" w:hAnsi="Times New Roman"/>
                <w:b w:val="0"/>
                <w:sz w:val="18"/>
              </w:rPr>
              <w:t>20,870</w:t>
            </w:r>
          </w:p>
        </w:tc>
        <w:tc>
          <w:tcPr>
            <w:tcW w:type="dxa" w:w="794"/>
          </w:tcPr>
          <w:p>
            <w:pPr>
              <w:spacing w:before="20" w:after="20"/>
              <w:jc w:val="center"/>
            </w:pPr>
            <w:r/>
            <w:r>
              <w:rPr>
                <w:rFonts w:ascii="Times New Roman" w:hAnsi="Times New Roman"/>
                <w:b w:val="0"/>
                <w:sz w:val="18"/>
              </w:rPr>
              <w:t>13,113</w:t>
            </w:r>
          </w:p>
        </w:tc>
        <w:tc>
          <w:tcPr>
            <w:tcW w:type="dxa" w:w="794"/>
          </w:tcPr>
          <w:p>
            <w:pPr>
              <w:spacing w:before="20" w:after="20"/>
              <w:jc w:val="center"/>
            </w:pPr>
            <w:r/>
            <w:r>
              <w:rPr>
                <w:rFonts w:ascii="Times New Roman" w:hAnsi="Times New Roman"/>
                <w:b w:val="0"/>
                <w:sz w:val="18"/>
              </w:rPr>
              <w:t>13,222</w:t>
            </w:r>
          </w:p>
        </w:tc>
        <w:tc>
          <w:tcPr>
            <w:tcW w:type="dxa" w:w="794"/>
          </w:tcPr>
          <w:p>
            <w:pPr>
              <w:spacing w:before="20" w:after="20"/>
              <w:jc w:val="center"/>
            </w:pPr>
            <w:r/>
            <w:r>
              <w:rPr>
                <w:rFonts w:ascii="Times New Roman" w:hAnsi="Times New Roman"/>
                <w:b w:val="0"/>
                <w:sz w:val="18"/>
              </w:rPr>
              <w:t>13,109</w:t>
            </w:r>
          </w:p>
        </w:tc>
        <w:tc>
          <w:tcPr>
            <w:tcW w:type="dxa" w:w="794"/>
          </w:tcPr>
          <w:p>
            <w:pPr>
              <w:spacing w:before="20" w:after="20"/>
              <w:jc w:val="center"/>
            </w:pPr>
            <w:r/>
            <w:r>
              <w:rPr>
                <w:rFonts w:ascii="Times New Roman" w:hAnsi="Times New Roman"/>
                <w:b w:val="0"/>
                <w:sz w:val="18"/>
              </w:rPr>
              <w:t>25,146</w:t>
            </w:r>
          </w:p>
        </w:tc>
        <w:tc>
          <w:tcPr>
            <w:tcW w:type="dxa" w:w="794"/>
          </w:tcPr>
          <w:p>
            <w:pPr>
              <w:spacing w:before="20" w:after="20"/>
              <w:jc w:val="center"/>
            </w:pPr>
            <w:r/>
            <w:r>
              <w:rPr>
                <w:rFonts w:ascii="Times New Roman" w:hAnsi="Times New Roman"/>
                <w:b w:val="0"/>
                <w:sz w:val="18"/>
              </w:rPr>
              <w:t>12,144</w:t>
            </w:r>
          </w:p>
        </w:tc>
        <w:tc>
          <w:tcPr>
            <w:tcW w:type="dxa" w:w="794"/>
          </w:tcPr>
          <w:p>
            <w:pPr>
              <w:spacing w:before="20" w:after="20"/>
              <w:jc w:val="center"/>
            </w:pPr>
            <w:r/>
            <w:r>
              <w:rPr>
                <w:rFonts w:ascii="Times New Roman" w:hAnsi="Times New Roman"/>
                <w:b w:val="0"/>
                <w:sz w:val="18"/>
              </w:rPr>
              <w:t>13,576</w:t>
            </w:r>
          </w:p>
        </w:tc>
      </w:tr>
      <w:tr>
        <w:tc>
          <w:tcPr>
            <w:tcW w:type="dxa" w:w="1474"/>
          </w:tcPr>
          <w:p>
            <w:pPr>
              <w:spacing w:before="20" w:after="20"/>
              <w:jc w:val="center"/>
            </w:pPr>
            <w:r/>
            <w:r>
              <w:rPr>
                <w:rFonts w:ascii="Times New Roman" w:hAnsi="Times New Roman"/>
                <w:b/>
                <w:sz w:val="18"/>
              </w:rPr>
              <w:t>Amor. Fraction</w:t>
            </w:r>
          </w:p>
        </w:tc>
        <w:tc>
          <w:tcPr>
            <w:tcW w:type="dxa" w:w="794"/>
          </w:tcPr>
          <w:p>
            <w:pPr>
              <w:spacing w:before="20" w:after="20"/>
              <w:jc w:val="center"/>
            </w:pPr>
            <w:r/>
            <w:r>
              <w:rPr>
                <w:rFonts w:ascii="Times New Roman" w:hAnsi="Times New Roman"/>
                <w:b/>
                <w:sz w:val="18"/>
              </w:rPr>
              <w:t>0.054</w:t>
            </w:r>
          </w:p>
        </w:tc>
        <w:tc>
          <w:tcPr>
            <w:tcW w:type="dxa" w:w="794"/>
          </w:tcPr>
          <w:p>
            <w:pPr>
              <w:spacing w:before="20" w:after="20"/>
              <w:jc w:val="center"/>
            </w:pPr>
            <w:r/>
            <w:r>
              <w:rPr>
                <w:rFonts w:ascii="Times New Roman" w:hAnsi="Times New Roman"/>
                <w:b/>
                <w:sz w:val="18"/>
              </w:rPr>
              <w:t>0.140</w:t>
            </w:r>
          </w:p>
        </w:tc>
        <w:tc>
          <w:tcPr>
            <w:tcW w:type="dxa" w:w="794"/>
          </w:tcPr>
          <w:p>
            <w:pPr>
              <w:spacing w:before="20" w:after="20"/>
              <w:jc w:val="center"/>
            </w:pPr>
            <w:r/>
            <w:r>
              <w:rPr>
                <w:rFonts w:ascii="Times New Roman" w:hAnsi="Times New Roman"/>
                <w:b/>
                <w:sz w:val="18"/>
              </w:rPr>
              <w:t>0.071</w:t>
            </w:r>
          </w:p>
        </w:tc>
        <w:tc>
          <w:tcPr>
            <w:tcW w:type="dxa" w:w="794"/>
          </w:tcPr>
          <w:p>
            <w:pPr>
              <w:spacing w:before="20" w:after="20"/>
              <w:jc w:val="center"/>
            </w:pPr>
            <w:r/>
            <w:r>
              <w:rPr>
                <w:rFonts w:ascii="Times New Roman" w:hAnsi="Times New Roman"/>
                <w:b/>
                <w:sz w:val="18"/>
              </w:rPr>
              <w:t>0.256</w:t>
            </w:r>
          </w:p>
        </w:tc>
        <w:tc>
          <w:tcPr>
            <w:tcW w:type="dxa" w:w="794"/>
          </w:tcPr>
          <w:p>
            <w:pPr>
              <w:spacing w:before="20" w:after="20"/>
              <w:jc w:val="center"/>
            </w:pPr>
            <w:r/>
            <w:r>
              <w:rPr>
                <w:rFonts w:ascii="Times New Roman" w:hAnsi="Times New Roman"/>
                <w:b/>
                <w:sz w:val="18"/>
              </w:rPr>
              <w:t>0.250</w:t>
            </w:r>
          </w:p>
        </w:tc>
        <w:tc>
          <w:tcPr>
            <w:tcW w:type="dxa" w:w="794"/>
          </w:tcPr>
          <w:p>
            <w:pPr>
              <w:spacing w:before="20" w:after="20"/>
              <w:jc w:val="center"/>
            </w:pPr>
            <w:r/>
            <w:r>
              <w:rPr>
                <w:rFonts w:ascii="Times New Roman" w:hAnsi="Times New Roman"/>
                <w:b/>
                <w:sz w:val="18"/>
              </w:rPr>
              <w:t>0.171</w:t>
            </w:r>
          </w:p>
        </w:tc>
        <w:tc>
          <w:tcPr>
            <w:tcW w:type="dxa" w:w="794"/>
          </w:tcPr>
          <w:p>
            <w:pPr>
              <w:spacing w:before="20" w:after="20"/>
              <w:jc w:val="center"/>
            </w:pPr>
            <w:r/>
            <w:r>
              <w:rPr>
                <w:rFonts w:ascii="Times New Roman" w:hAnsi="Times New Roman"/>
                <w:b/>
                <w:sz w:val="18"/>
              </w:rPr>
              <w:t>0.000</w:t>
            </w:r>
          </w:p>
        </w:tc>
        <w:tc>
          <w:tcPr>
            <w:tcW w:type="dxa" w:w="794"/>
          </w:tcPr>
          <w:p>
            <w:pPr>
              <w:spacing w:before="20" w:after="20"/>
              <w:jc w:val="center"/>
            </w:pPr>
            <w:r/>
            <w:r>
              <w:rPr>
                <w:rFonts w:ascii="Times New Roman" w:hAnsi="Times New Roman"/>
                <w:b/>
                <w:sz w:val="18"/>
              </w:rPr>
              <w:t>0.264</w:t>
            </w:r>
          </w:p>
        </w:tc>
        <w:tc>
          <w:tcPr>
            <w:tcW w:type="dxa" w:w="794"/>
          </w:tcPr>
          <w:p>
            <w:pPr>
              <w:spacing w:before="20" w:after="20"/>
              <w:jc w:val="center"/>
            </w:pPr>
            <w:r/>
            <w:r>
              <w:rPr>
                <w:rFonts w:ascii="Times New Roman" w:hAnsi="Times New Roman"/>
                <w:b/>
                <w:sz w:val="18"/>
              </w:rPr>
              <w:t>0.182</w:t>
            </w:r>
          </w:p>
        </w:tc>
      </w:tr>
    </w:tbl>
    <w:p/>
    <w:p>
      <w:pPr>
        <w:spacing w:after="120"/>
      </w:pPr>
      <w:r>
        <w:rPr>
          <w:rFonts w:ascii="Times New Roman" w:hAnsi="Times New Roman"/>
          <w:b w:val="0"/>
          <w:i/>
          <w:sz w:val="16"/>
        </w:rPr>
        <w:t>The quartz IA values represent the sum of integrated peak areas. The mullite IA/PI ratio (mean = 20.0) is approximately 2.6 times that of quartz (mean IA/PI = 7.8), reflecting the substantially broader diffraction peaks of nanoscale mullite crystallites in fly ash (Chancey et al., 2010). The calcite IA/PI ratio (mean = 7.0) is similar to quartz, consistent with moderate crystallinity of carbonation-precipitated calcite.</w:t>
      </w:r>
    </w:p>
    <w:p>
      <w:pPr>
        <w:spacing w:after="120"/>
      </w:pPr>
      <w:r>
        <w:rPr>
          <w:rFonts w:ascii="Times New Roman" w:hAnsi="Times New Roman"/>
          <w:b w:val="0"/>
          <w:i w:val="0"/>
          <w:sz w:val="20"/>
        </w:rPr>
        <w:t>The results in Table 9 demonstrate substantial variation and reveal findings not apparent from the Peak Intensity data alone.</w:t>
      </w:r>
    </w:p>
    <w:p>
      <w:pPr>
        <w:spacing w:after="120"/>
      </w:pPr>
      <w:r>
        <w:rPr>
          <w:rFonts w:ascii="Times New Roman" w:hAnsi="Times New Roman"/>
          <w:b w:val="0"/>
          <w:i w:val="0"/>
          <w:sz w:val="20"/>
        </w:rPr>
        <w:t>Mix L07 exhibited the highest quartz IA (18,923), mullite IA (4,075), and cumulative IA (25,146) — approximately 2.8 times the lowest (L08 = 8,936). Total amorphous IA is zero. This is not merely a mix with high crystalline content; it is a mix in which alkali activation has essentially failed, producing a microstructure dominated by unreacted precursor phases with no binding gel. The CS of 22.41 MPa reflects residual strength from particle packing alone.</w:t>
      </w:r>
    </w:p>
    <w:p>
      <w:pPr>
        <w:spacing w:after="120"/>
      </w:pPr>
      <w:r>
        <w:rPr>
          <w:rFonts w:ascii="Times New Roman" w:hAnsi="Times New Roman"/>
          <w:b w:val="0"/>
          <w:i w:val="0"/>
          <w:sz w:val="20"/>
        </w:rPr>
        <w:t>Mix L08 recorded the lowest cumulative crystalline IA (8,936), confirming the most extensive precursor dissolution. High amorphous IA (3,208.1, second only to L04) and the highest amorphous fraction (0.264) reflect efficient conversion of dissolved species into gel. Yet L08 achieves only the fourth-highest CS (47.95 MPa). This — that maximum gel fraction does not correspond to maximum strength — is a central finding: gel QUALITY outweighs gel QUANTITY. The NASH/CASH ratio of 35.0 and the heterogeneous microstructure (SEM-EDS, Table 14) suggest sodium-rich phase segregation compromising gel network continuity.</w:t>
      </w:r>
    </w:p>
    <w:p>
      <w:pPr>
        <w:spacing w:after="120"/>
      </w:pPr>
      <w:r>
        <w:rPr>
          <w:rFonts w:ascii="Times New Roman" w:hAnsi="Times New Roman"/>
          <w:b w:val="0"/>
          <w:i w:val="0"/>
          <w:sz w:val="20"/>
        </w:rPr>
        <w:t>Mix L03 exhibits the most instructive discordance. With the second-highest cumulative crystalline IA (19,385), the lowest amorphous fraction among reacting mixes (0.071, or 7.1%), yet the HIGHEST CS (52.53 MPa). The answer lies in the NASH/CASH ratio of 15.59 — the optimal coexistence of the two gel types. The 3D NASH framework (94% of gel) provides the primary load-bearing network (Duxson et al., 2007), while the small but critical CASH fraction (6%, 89.6 IA) fills nanopores, reduces critical flaw size, and enhances bonding through calcium-mediated cross-linking (Garcia-Lodeiro et al., 2011; Puligilla &amp; Mondal, 2013). The anomalously high calcite IA (2,811 at 20% GGBS — the highest in the dataset) exceeds that of mixes with twice the GGBS (L08: 1,548; L09: 1,760). This is likely real: the high alkalinity (Al/B = 0.6, 12 M NaOH) combined with open pore structure from limited gel formation facilitates enhanced CO₂ ingress during curing, leading to greater CaCO₃ precipitation. The calcite contributes to particle packing but not to the load-bearing network — consistent with the finding that crystalline PSD does not correlate with strength.</w:t>
      </w:r>
    </w:p>
    <w:p>
      <w:pPr>
        <w:spacing w:after="120"/>
      </w:pPr>
      <w:r>
        <w:rPr>
          <w:rFonts w:ascii="Times New Roman" w:hAnsi="Times New Roman"/>
          <w:b w:val="0"/>
          <w:i w:val="0"/>
          <w:sz w:val="20"/>
        </w:rPr>
        <w:t>Mix L04 recorded the highest NASH IA (3,228.0) — the directly measured anchor value — and highest total amorphous IA (3,352.6). The amorphous fraction (0.256) reflects efficient precursor-to-gel conversion. The NASH/CASH ratio of 25.9, while favourable, is higher than the apparent optimum (~15–16), suggesting L04 could be further optimised by slightly increasing GGBS content (Nath &amp; Kumar, 2013).</w:t>
      </w:r>
    </w:p>
    <w:p>
      <w:pPr>
        <w:spacing w:after="120"/>
      </w:pPr>
      <w:r>
        <w:rPr>
          <w:rFonts w:ascii="Times New Roman" w:hAnsi="Times New Roman"/>
          <w:b w:val="0"/>
          <w:i w:val="0"/>
          <w:sz w:val="20"/>
        </w:rPr>
        <w:t>Mix L05 confirms the PI-based observation: at 70:30 FA:GGBS, increasing activator from Al/B = 0.4 (L04) to 0.5 at 12 M NaOH (L05) produces no additional gel. Crystalline IA (9,913 vs. 9,760), amorphous IA (3,309.2 vs. 3,352.6), and CS (51.43 vs. 51.62 MPa) are statistically indistinguishable. This saturation is consistent with a maximum reactive fraction in fly ash (Williams &amp; Van Riessen, 2010): once the entire glassy fraction has dissolved, additional activator cannot extract more.</w:t>
      </w:r>
    </w:p>
    <w:p>
      <w:pPr>
        <w:spacing w:after="120"/>
      </w:pPr>
      <w:r>
        <w:rPr>
          <w:rFonts w:ascii="Times New Roman" w:hAnsi="Times New Roman"/>
          <w:b w:val="0"/>
          <w:i w:val="0"/>
          <w:sz w:val="20"/>
        </w:rPr>
        <w:t>Mix L01 produced the lowest amorphous IA (682.5) among reacting mixes. The NASH/CASH ratio of 80.9 — the most extreme in the dataset — reflects low calcium availability (20% GGBS), low alkalinity (insufficient for GGBS dissolution), and fly ash-dominated activation. The near-absence of CASH-mediated pore refinement results in a porous, poorly bonded matrix (CS = 15.34 MPa). Puligilla and Mondal (2013) demonstrated the critical role of slag-derived calcium in hardening; L01 represents the limiting case of insufficient calcium participation.</w:t>
      </w:r>
    </w:p>
    <w:p>
      <w:pPr>
        <w:spacing w:after="120"/>
      </w:pPr>
      <w:r>
        <w:rPr>
          <w:rFonts w:ascii="Times New Roman" w:hAnsi="Times New Roman"/>
          <w:b w:val="0"/>
          <w:i w:val="0"/>
          <w:sz w:val="20"/>
        </w:rPr>
        <w:t>Mix L06 produced moderate amorphous IA (2,245.8) with the highest absolute CASH IA (183.7), reflecting preferential GGBS dissolution over fly ash dissolution at 8 M NaOH (Ismail et al., 2014). The NASH/CASH ratio of 11.2 approaches the optimal range, but the total amorphous PSD is substantially below top-tier mixes. CS = 38.97 MPa reflects this gel quantity limitation.</w:t>
      </w:r>
    </w:p>
    <w:p>
      <w:pPr>
        <w:spacing w:after="120"/>
      </w:pPr>
      <w:r>
        <w:rPr>
          <w:rFonts w:ascii="Times New Roman" w:hAnsi="Times New Roman"/>
          <w:b w:val="0"/>
          <w:i w:val="0"/>
          <w:sz w:val="20"/>
        </w:rPr>
        <w:t>Mix L09 recorded moderate crystalline IA (11,107) and amorphous IA (2,468.8) with a NASH/CASH ratio of 13.2 — within the optimal range. CS = 42.68 MPa is solid but below the top tier, suggesting gel quantity (not quality) is limiting. The SEM characterisation of "balanced geopolymerization" is reflected in the intermediate PSD values.</w:t>
      </w:r>
    </w:p>
    <w:p>
      <w:pPr>
        <w:spacing w:after="120"/>
      </w:pPr>
      <w:r>
        <w:rPr>
          <w:rFonts w:ascii="Times New Roman" w:hAnsi="Times New Roman"/>
          <w:b w:val="0"/>
          <w:i w:val="0"/>
          <w:sz w:val="20"/>
        </w:rPr>
        <w:t>From a geopolymerization perspective, the IA-PSD dataset provides the quantitative basis for the central finding: the total crystalline PSD correlates with CS at r = −0.318 (not significant), while the total amorphous PSD correlates at r = +0.810 (R² = 0.657, p &lt; 0.01). The total PSD — the simple sum — exhibits NO correlation (r = −0.168, R² = 0.028). This cancellation occurs because crystalline and amorphous PSD are anti-correlated (r = −0.770): as more precursor dissolves (reducing crystalline PSD), more gel forms (increasing amorphous PSD). When summed, the countervailing signals cancel, yielding a near-zero correlation that would lead an investigator relying on un-deconvoluted XRD data to conclude — incorrectly — that phase composition is unrelated to mechanical performance.</w:t>
      </w:r>
    </w:p>
    <w:p>
      <w:pPr>
        <w:spacing w:after="120"/>
      </w:pPr>
      <w:r>
        <w:rPr>
          <w:rFonts w:ascii="Times New Roman" w:hAnsi="Times New Roman"/>
          <w:b w:val="0"/>
          <w:i w:val="0"/>
          <w:sz w:val="20"/>
        </w:rPr>
        <w:t>The PSD methodology, by deconvoluting the total scattering signal, reveals the hidden structure–property relationship. Furthermore, the NASH/CASH partition analysis reveals that gel quality can outweigh gel quantity: L03 achieves the highest strength with the lowest amorphous fraction because its gel is optimally configured; L08 achieves lower strength despite the highest amorphous fraction because its gel is not optimally balanced. These findings are consistent with Walkley et al. (2016), who used MAS-NMR to show that mechanical properties of blended C-(N)-A-S-H/N-A-S-H systems depend on cross-linking and connectivity rather than total gel volume, and with Garcia-Lodeiro et al. (2011), who established the thermodynamic compatibility of NASH and CASH gels and the superior properties of their coexistence.</w:t>
      </w:r>
    </w:p>
    <w:p>
      <w:pPr>
        <w:spacing w:after="120"/>
      </w:pPr>
      <w:r>
        <w:rPr>
          <w:rFonts w:ascii="Times New Roman" w:hAnsi="Times New Roman"/>
          <w:b w:val="0"/>
          <w:i w:val="0"/>
          <w:sz w:val="20"/>
        </w:rPr>
        <w:t>In summary, the mechanical performance of FA-GGBS alkali-activated mortar is governed not by crystalline abundance alone, nor by amorphous abundance alone, but by the BALANCE between residual crystalline persistence (providing dimensional stability and particle packing) and amorphous gel development (providing the continuous binding network), with the QUALITY of the gel — as quantified by the NASH/CASH partition ratio — emerging as the decisive factor for strength optimisation.</w:t>
      </w:r>
    </w:p>
    <w:p>
      <w:r>
        <w:br w:type="page"/>
      </w:r>
    </w:p>
    <w:p>
      <w:pPr>
        <w:pStyle w:val="Heading2"/>
      </w:pPr>
      <w:r>
        <w:rPr>
          <w:rFonts w:ascii="Times New Roman" w:hAnsi="Times New Roman"/>
          <w:color w:val="000050"/>
        </w:rPr>
        <w:t>3.2.1 Statistical Correlation Summary</w:t>
      </w:r>
    </w:p>
    <w:p>
      <w:pPr>
        <w:spacing w:after="120"/>
      </w:pPr>
      <w:r>
        <w:rPr>
          <w:rFonts w:ascii="Times New Roman" w:hAnsi="Times New Roman"/>
          <w:b w:val="0"/>
          <w:i w:val="0"/>
          <w:sz w:val="20"/>
        </w:rPr>
        <w:t>Table 10 presents the Pearson correlation analysis between IA-PSD components and compressive strength.</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551"/>
            <w:shd w:fill="003366"/>
          </w:tcPr>
          <w:p>
            <w:pPr>
              <w:spacing w:before="20" w:after="20"/>
              <w:jc w:val="center"/>
            </w:pPr>
            <w:r/>
            <w:r>
              <w:rPr>
                <w:rFonts w:ascii="Times New Roman" w:hAnsi="Times New Roman"/>
                <w:b/>
                <w:color w:val="FFFFFF"/>
                <w:sz w:val="18"/>
              </w:rPr>
              <w:t>Correlation Pair</w:t>
            </w:r>
          </w:p>
        </w:tc>
        <w:tc>
          <w:tcPr>
            <w:tcW w:type="dxa" w:w="1020"/>
            <w:shd w:fill="003366"/>
          </w:tcPr>
          <w:p>
            <w:pPr>
              <w:spacing w:before="20" w:after="20"/>
              <w:jc w:val="center"/>
            </w:pPr>
            <w:r/>
            <w:r>
              <w:rPr>
                <w:rFonts w:ascii="Times New Roman" w:hAnsi="Times New Roman"/>
                <w:b/>
                <w:color w:val="FFFFFF"/>
                <w:sz w:val="18"/>
              </w:rPr>
              <w:t>Pearson r</w:t>
            </w:r>
          </w:p>
        </w:tc>
        <w:tc>
          <w:tcPr>
            <w:tcW w:type="dxa" w:w="850"/>
            <w:shd w:fill="003366"/>
          </w:tcPr>
          <w:p>
            <w:pPr>
              <w:spacing w:before="20" w:after="20"/>
              <w:jc w:val="center"/>
            </w:pPr>
            <w:r/>
            <w:r>
              <w:rPr>
                <w:rFonts w:ascii="Times New Roman" w:hAnsi="Times New Roman"/>
                <w:b/>
                <w:color w:val="FFFFFF"/>
                <w:sz w:val="18"/>
              </w:rPr>
              <w:t>R²</w:t>
            </w:r>
          </w:p>
        </w:tc>
        <w:tc>
          <w:tcPr>
            <w:tcW w:type="dxa" w:w="1020"/>
            <w:shd w:fill="003366"/>
          </w:tcPr>
          <w:p>
            <w:pPr>
              <w:spacing w:before="20" w:after="20"/>
              <w:jc w:val="center"/>
            </w:pPr>
            <w:r/>
            <w:r>
              <w:rPr>
                <w:rFonts w:ascii="Times New Roman" w:hAnsi="Times New Roman"/>
                <w:b/>
                <w:color w:val="FFFFFF"/>
                <w:sz w:val="18"/>
              </w:rPr>
              <w:t>t-statistic</w:t>
            </w:r>
          </w:p>
        </w:tc>
        <w:tc>
          <w:tcPr>
            <w:tcW w:type="dxa" w:w="850"/>
            <w:shd w:fill="003366"/>
          </w:tcPr>
          <w:p>
            <w:pPr>
              <w:spacing w:before="20" w:after="20"/>
              <w:jc w:val="center"/>
            </w:pPr>
            <w:r/>
            <w:r>
              <w:rPr>
                <w:rFonts w:ascii="Times New Roman" w:hAnsi="Times New Roman"/>
                <w:b/>
                <w:color w:val="FFFFFF"/>
                <w:sz w:val="18"/>
              </w:rPr>
              <w:t>p-value</w:t>
            </w:r>
          </w:p>
        </w:tc>
        <w:tc>
          <w:tcPr>
            <w:tcW w:type="dxa" w:w="1020"/>
            <w:shd w:fill="003366"/>
          </w:tcPr>
          <w:p>
            <w:pPr>
              <w:spacing w:before="20" w:after="20"/>
              <w:jc w:val="center"/>
            </w:pPr>
            <w:r/>
            <w:r>
              <w:rPr>
                <w:rFonts w:ascii="Times New Roman" w:hAnsi="Times New Roman"/>
                <w:b/>
                <w:color w:val="FFFFFF"/>
                <w:sz w:val="18"/>
              </w:rPr>
              <w:t>Significance</w:t>
            </w:r>
          </w:p>
        </w:tc>
      </w:tr>
      <w:tr>
        <w:tc>
          <w:tcPr>
            <w:tcW w:type="dxa" w:w="2551"/>
          </w:tcPr>
          <w:p>
            <w:pPr>
              <w:spacing w:before="20" w:after="20"/>
              <w:jc w:val="center"/>
            </w:pPr>
            <w:r/>
            <w:r>
              <w:rPr>
                <w:rFonts w:ascii="Times New Roman" w:hAnsi="Times New Roman"/>
                <w:b w:val="0"/>
                <w:sz w:val="18"/>
              </w:rPr>
              <w:t>CS vs Amorphous PSD (IA)</w:t>
            </w:r>
          </w:p>
        </w:tc>
        <w:tc>
          <w:tcPr>
            <w:tcW w:type="dxa" w:w="1020"/>
          </w:tcPr>
          <w:p>
            <w:pPr>
              <w:spacing w:before="20" w:after="20"/>
              <w:jc w:val="center"/>
            </w:pPr>
            <w:r/>
            <w:r>
              <w:rPr>
                <w:rFonts w:ascii="Times New Roman" w:hAnsi="Times New Roman"/>
                <w:b w:val="0"/>
                <w:sz w:val="18"/>
              </w:rPr>
              <w:t>+0.810</w:t>
            </w:r>
          </w:p>
        </w:tc>
        <w:tc>
          <w:tcPr>
            <w:tcW w:type="dxa" w:w="850"/>
          </w:tcPr>
          <w:p>
            <w:pPr>
              <w:spacing w:before="20" w:after="20"/>
              <w:jc w:val="center"/>
            </w:pPr>
            <w:r/>
            <w:r>
              <w:rPr>
                <w:rFonts w:ascii="Times New Roman" w:hAnsi="Times New Roman"/>
                <w:b w:val="0"/>
                <w:sz w:val="18"/>
              </w:rPr>
              <w:t>0.657</w:t>
            </w:r>
          </w:p>
        </w:tc>
        <w:tc>
          <w:tcPr>
            <w:tcW w:type="dxa" w:w="1020"/>
          </w:tcPr>
          <w:p>
            <w:pPr>
              <w:spacing w:before="20" w:after="20"/>
              <w:jc w:val="center"/>
            </w:pPr>
            <w:r/>
            <w:r>
              <w:rPr>
                <w:rFonts w:ascii="Times New Roman" w:hAnsi="Times New Roman"/>
                <w:b w:val="0"/>
                <w:sz w:val="18"/>
              </w:rPr>
              <w:t>3.648</w:t>
            </w:r>
          </w:p>
        </w:tc>
        <w:tc>
          <w:tcPr>
            <w:tcW w:type="dxa" w:w="850"/>
          </w:tcPr>
          <w:p>
            <w:pPr>
              <w:spacing w:before="20" w:after="20"/>
              <w:jc w:val="center"/>
            </w:pPr>
            <w:r/>
            <w:r>
              <w:rPr>
                <w:rFonts w:ascii="Times New Roman" w:hAnsi="Times New Roman"/>
                <w:b w:val="0"/>
                <w:sz w:val="18"/>
              </w:rPr>
              <w:t>&lt;0.01</w:t>
            </w:r>
          </w:p>
        </w:tc>
        <w:tc>
          <w:tcPr>
            <w:tcW w:type="dxa" w:w="1020"/>
          </w:tcPr>
          <w:p>
            <w:pPr>
              <w:spacing w:before="20" w:after="20"/>
              <w:jc w:val="center"/>
            </w:pPr>
            <w:r/>
            <w:r>
              <w:rPr>
                <w:rFonts w:ascii="Times New Roman" w:hAnsi="Times New Roman"/>
                <w:b w:val="0"/>
                <w:sz w:val="18"/>
              </w:rPr>
              <w:t>***</w:t>
            </w:r>
          </w:p>
        </w:tc>
      </w:tr>
      <w:tr>
        <w:tc>
          <w:tcPr>
            <w:tcW w:type="dxa" w:w="2551"/>
          </w:tcPr>
          <w:p>
            <w:pPr>
              <w:spacing w:before="20" w:after="20"/>
              <w:jc w:val="center"/>
            </w:pPr>
            <w:r/>
            <w:r>
              <w:rPr>
                <w:rFonts w:ascii="Times New Roman" w:hAnsi="Times New Roman"/>
                <w:b w:val="0"/>
                <w:sz w:val="18"/>
              </w:rPr>
              <w:t>CS vs Amorphous PSD (PI)</w:t>
            </w:r>
          </w:p>
        </w:tc>
        <w:tc>
          <w:tcPr>
            <w:tcW w:type="dxa" w:w="1020"/>
          </w:tcPr>
          <w:p>
            <w:pPr>
              <w:spacing w:before="20" w:after="20"/>
              <w:jc w:val="center"/>
            </w:pPr>
            <w:r/>
            <w:r>
              <w:rPr>
                <w:rFonts w:ascii="Times New Roman" w:hAnsi="Times New Roman"/>
                <w:b w:val="0"/>
                <w:sz w:val="18"/>
              </w:rPr>
              <w:t>+0.810</w:t>
            </w:r>
          </w:p>
        </w:tc>
        <w:tc>
          <w:tcPr>
            <w:tcW w:type="dxa" w:w="850"/>
          </w:tcPr>
          <w:p>
            <w:pPr>
              <w:spacing w:before="20" w:after="20"/>
              <w:jc w:val="center"/>
            </w:pPr>
            <w:r/>
            <w:r>
              <w:rPr>
                <w:rFonts w:ascii="Times New Roman" w:hAnsi="Times New Roman"/>
                <w:b w:val="0"/>
                <w:sz w:val="18"/>
              </w:rPr>
              <w:t>0.656</w:t>
            </w:r>
          </w:p>
        </w:tc>
        <w:tc>
          <w:tcPr>
            <w:tcW w:type="dxa" w:w="1020"/>
          </w:tcPr>
          <w:p>
            <w:pPr>
              <w:spacing w:before="20" w:after="20"/>
              <w:jc w:val="center"/>
            </w:pPr>
            <w:r/>
            <w:r>
              <w:rPr>
                <w:rFonts w:ascii="Times New Roman" w:hAnsi="Times New Roman"/>
                <w:b w:val="0"/>
                <w:sz w:val="18"/>
              </w:rPr>
              <w:t>3.647</w:t>
            </w:r>
          </w:p>
        </w:tc>
        <w:tc>
          <w:tcPr>
            <w:tcW w:type="dxa" w:w="850"/>
          </w:tcPr>
          <w:p>
            <w:pPr>
              <w:spacing w:before="20" w:after="20"/>
              <w:jc w:val="center"/>
            </w:pPr>
            <w:r/>
            <w:r>
              <w:rPr>
                <w:rFonts w:ascii="Times New Roman" w:hAnsi="Times New Roman"/>
                <w:b w:val="0"/>
                <w:sz w:val="18"/>
              </w:rPr>
              <w:t>&lt;0.01</w:t>
            </w:r>
          </w:p>
        </w:tc>
        <w:tc>
          <w:tcPr>
            <w:tcW w:type="dxa" w:w="1020"/>
          </w:tcPr>
          <w:p>
            <w:pPr>
              <w:spacing w:before="20" w:after="20"/>
              <w:jc w:val="center"/>
            </w:pPr>
            <w:r/>
            <w:r>
              <w:rPr>
                <w:rFonts w:ascii="Times New Roman" w:hAnsi="Times New Roman"/>
                <w:b w:val="0"/>
                <w:sz w:val="18"/>
              </w:rPr>
              <w:t>***</w:t>
            </w:r>
          </w:p>
        </w:tc>
      </w:tr>
      <w:tr>
        <w:tc>
          <w:tcPr>
            <w:tcW w:type="dxa" w:w="2551"/>
          </w:tcPr>
          <w:p>
            <w:pPr>
              <w:spacing w:before="20" w:after="20"/>
              <w:jc w:val="center"/>
            </w:pPr>
            <w:r/>
            <w:r>
              <w:rPr>
                <w:rFonts w:ascii="Times New Roman" w:hAnsi="Times New Roman"/>
                <w:b w:val="0"/>
                <w:sz w:val="18"/>
              </w:rPr>
              <w:t>CS vs NASH PSD (IA)</w:t>
            </w:r>
          </w:p>
        </w:tc>
        <w:tc>
          <w:tcPr>
            <w:tcW w:type="dxa" w:w="1020"/>
          </w:tcPr>
          <w:p>
            <w:pPr>
              <w:spacing w:before="20" w:after="20"/>
              <w:jc w:val="center"/>
            </w:pPr>
            <w:r/>
            <w:r>
              <w:rPr>
                <w:rFonts w:ascii="Times New Roman" w:hAnsi="Times New Roman"/>
                <w:b w:val="0"/>
                <w:sz w:val="18"/>
              </w:rPr>
              <w:t>+0.804</w:t>
            </w:r>
          </w:p>
        </w:tc>
        <w:tc>
          <w:tcPr>
            <w:tcW w:type="dxa" w:w="850"/>
          </w:tcPr>
          <w:p>
            <w:pPr>
              <w:spacing w:before="20" w:after="20"/>
              <w:jc w:val="center"/>
            </w:pPr>
            <w:r/>
            <w:r>
              <w:rPr>
                <w:rFonts w:ascii="Times New Roman" w:hAnsi="Times New Roman"/>
                <w:b w:val="0"/>
                <w:sz w:val="18"/>
              </w:rPr>
              <w:t>0.646</w:t>
            </w:r>
          </w:p>
        </w:tc>
        <w:tc>
          <w:tcPr>
            <w:tcW w:type="dxa" w:w="1020"/>
          </w:tcPr>
          <w:p>
            <w:pPr>
              <w:spacing w:before="20" w:after="20"/>
              <w:jc w:val="center"/>
            </w:pPr>
            <w:r/>
            <w:r>
              <w:rPr>
                <w:rFonts w:ascii="Times New Roman" w:hAnsi="Times New Roman"/>
                <w:b w:val="0"/>
                <w:sz w:val="18"/>
              </w:rPr>
              <w:t>3.575</w:t>
            </w:r>
          </w:p>
        </w:tc>
        <w:tc>
          <w:tcPr>
            <w:tcW w:type="dxa" w:w="850"/>
          </w:tcPr>
          <w:p>
            <w:pPr>
              <w:spacing w:before="20" w:after="20"/>
              <w:jc w:val="center"/>
            </w:pPr>
            <w:r/>
            <w:r>
              <w:rPr>
                <w:rFonts w:ascii="Times New Roman" w:hAnsi="Times New Roman"/>
                <w:b w:val="0"/>
                <w:sz w:val="18"/>
              </w:rPr>
              <w:t>&lt;0.01</w:t>
            </w:r>
          </w:p>
        </w:tc>
        <w:tc>
          <w:tcPr>
            <w:tcW w:type="dxa" w:w="1020"/>
          </w:tcPr>
          <w:p>
            <w:pPr>
              <w:spacing w:before="20" w:after="20"/>
              <w:jc w:val="center"/>
            </w:pPr>
            <w:r/>
            <w:r>
              <w:rPr>
                <w:rFonts w:ascii="Times New Roman" w:hAnsi="Times New Roman"/>
                <w:b w:val="0"/>
                <w:sz w:val="18"/>
              </w:rPr>
              <w:t>***</w:t>
            </w:r>
          </w:p>
        </w:tc>
      </w:tr>
      <w:tr>
        <w:tc>
          <w:tcPr>
            <w:tcW w:type="dxa" w:w="2551"/>
          </w:tcPr>
          <w:p>
            <w:pPr>
              <w:spacing w:before="20" w:after="20"/>
              <w:jc w:val="center"/>
            </w:pPr>
            <w:r/>
            <w:r>
              <w:rPr>
                <w:rFonts w:ascii="Times New Roman" w:hAnsi="Times New Roman"/>
                <w:b w:val="0"/>
                <w:sz w:val="18"/>
              </w:rPr>
              <w:t>CS vs CASH PSD (IA)</w:t>
            </w:r>
          </w:p>
        </w:tc>
        <w:tc>
          <w:tcPr>
            <w:tcW w:type="dxa" w:w="1020"/>
          </w:tcPr>
          <w:p>
            <w:pPr>
              <w:spacing w:before="20" w:after="20"/>
              <w:jc w:val="center"/>
            </w:pPr>
            <w:r/>
            <w:r>
              <w:rPr>
                <w:rFonts w:ascii="Times New Roman" w:hAnsi="Times New Roman"/>
                <w:b w:val="0"/>
                <w:sz w:val="18"/>
              </w:rPr>
              <w:t>+0.648</w:t>
            </w:r>
          </w:p>
        </w:tc>
        <w:tc>
          <w:tcPr>
            <w:tcW w:type="dxa" w:w="850"/>
          </w:tcPr>
          <w:p>
            <w:pPr>
              <w:spacing w:before="20" w:after="20"/>
              <w:jc w:val="center"/>
            </w:pPr>
            <w:r/>
            <w:r>
              <w:rPr>
                <w:rFonts w:ascii="Times New Roman" w:hAnsi="Times New Roman"/>
                <w:b w:val="0"/>
                <w:sz w:val="18"/>
              </w:rPr>
              <w:t>0.420</w:t>
            </w:r>
          </w:p>
        </w:tc>
        <w:tc>
          <w:tcPr>
            <w:tcW w:type="dxa" w:w="1020"/>
          </w:tcPr>
          <w:p>
            <w:pPr>
              <w:spacing w:before="20" w:after="20"/>
              <w:jc w:val="center"/>
            </w:pPr>
            <w:r/>
            <w:r>
              <w:rPr>
                <w:rFonts w:ascii="Times New Roman" w:hAnsi="Times New Roman"/>
                <w:b w:val="0"/>
                <w:sz w:val="18"/>
              </w:rPr>
              <w:t>2.250</w:t>
            </w:r>
          </w:p>
        </w:tc>
        <w:tc>
          <w:tcPr>
            <w:tcW w:type="dxa" w:w="850"/>
          </w:tcPr>
          <w:p>
            <w:pPr>
              <w:spacing w:before="20" w:after="20"/>
              <w:jc w:val="center"/>
            </w:pPr>
            <w:r/>
            <w:r>
              <w:rPr>
                <w:rFonts w:ascii="Times New Roman" w:hAnsi="Times New Roman"/>
                <w:b w:val="0"/>
                <w:sz w:val="18"/>
              </w:rPr>
              <w:t>&lt;0.05</w:t>
            </w:r>
          </w:p>
        </w:tc>
        <w:tc>
          <w:tcPr>
            <w:tcW w:type="dxa" w:w="1020"/>
          </w:tcPr>
          <w:p>
            <w:pPr>
              <w:spacing w:before="20" w:after="20"/>
              <w:jc w:val="center"/>
            </w:pPr>
            <w:r/>
            <w:r>
              <w:rPr>
                <w:rFonts w:ascii="Times New Roman" w:hAnsi="Times New Roman"/>
                <w:b w:val="0"/>
                <w:sz w:val="18"/>
              </w:rPr>
              <w:t>**</w:t>
            </w:r>
          </w:p>
        </w:tc>
      </w:tr>
      <w:tr>
        <w:tc>
          <w:tcPr>
            <w:tcW w:type="dxa" w:w="2551"/>
          </w:tcPr>
          <w:p>
            <w:pPr>
              <w:spacing w:before="20" w:after="20"/>
              <w:jc w:val="center"/>
            </w:pPr>
            <w:r/>
            <w:r>
              <w:rPr>
                <w:rFonts w:ascii="Times New Roman" w:hAnsi="Times New Roman"/>
                <w:b w:val="0"/>
                <w:sz w:val="18"/>
              </w:rPr>
              <w:t>CS vs Crystalline PSD (IA)</w:t>
            </w:r>
          </w:p>
        </w:tc>
        <w:tc>
          <w:tcPr>
            <w:tcW w:type="dxa" w:w="1020"/>
          </w:tcPr>
          <w:p>
            <w:pPr>
              <w:spacing w:before="20" w:after="20"/>
              <w:jc w:val="center"/>
            </w:pPr>
            <w:r/>
            <w:r>
              <w:rPr>
                <w:rFonts w:ascii="Times New Roman" w:hAnsi="Times New Roman"/>
                <w:b w:val="0"/>
                <w:sz w:val="18"/>
              </w:rPr>
              <w:t>−0.318</w:t>
            </w:r>
          </w:p>
        </w:tc>
        <w:tc>
          <w:tcPr>
            <w:tcW w:type="dxa" w:w="850"/>
          </w:tcPr>
          <w:p>
            <w:pPr>
              <w:spacing w:before="20" w:after="20"/>
              <w:jc w:val="center"/>
            </w:pPr>
            <w:r/>
            <w:r>
              <w:rPr>
                <w:rFonts w:ascii="Times New Roman" w:hAnsi="Times New Roman"/>
                <w:b w:val="0"/>
                <w:sz w:val="18"/>
              </w:rPr>
              <w:t>0.101</w:t>
            </w:r>
          </w:p>
        </w:tc>
        <w:tc>
          <w:tcPr>
            <w:tcW w:type="dxa" w:w="1020"/>
          </w:tcPr>
          <w:p>
            <w:pPr>
              <w:spacing w:before="20" w:after="20"/>
              <w:jc w:val="center"/>
            </w:pPr>
            <w:r/>
            <w:r>
              <w:rPr>
                <w:rFonts w:ascii="Times New Roman" w:hAnsi="Times New Roman"/>
                <w:b w:val="0"/>
                <w:sz w:val="18"/>
              </w:rPr>
              <w:t>0.888</w:t>
            </w:r>
          </w:p>
        </w:tc>
        <w:tc>
          <w:tcPr>
            <w:tcW w:type="dxa" w:w="850"/>
          </w:tcPr>
          <w:p>
            <w:pPr>
              <w:spacing w:before="20" w:after="20"/>
              <w:jc w:val="center"/>
            </w:pPr>
            <w:r/>
            <w:r>
              <w:rPr>
                <w:rFonts w:ascii="Times New Roman" w:hAnsi="Times New Roman"/>
                <w:b w:val="0"/>
                <w:sz w:val="18"/>
              </w:rPr>
              <w:t>n.s.</w:t>
            </w:r>
          </w:p>
        </w:tc>
        <w:tc>
          <w:tcPr>
            <w:tcW w:type="dxa" w:w="1020"/>
          </w:tcPr>
          <w:p>
            <w:pPr>
              <w:spacing w:before="20" w:after="20"/>
              <w:jc w:val="center"/>
            </w:pPr>
            <w:r/>
            <w:r>
              <w:rPr>
                <w:rFonts w:ascii="Times New Roman" w:hAnsi="Times New Roman"/>
                <w:b w:val="0"/>
                <w:sz w:val="18"/>
              </w:rPr>
              <w:t>—</w:t>
            </w:r>
          </w:p>
        </w:tc>
      </w:tr>
      <w:tr>
        <w:tc>
          <w:tcPr>
            <w:tcW w:type="dxa" w:w="2551"/>
          </w:tcPr>
          <w:p>
            <w:pPr>
              <w:spacing w:before="20" w:after="20"/>
              <w:jc w:val="center"/>
            </w:pPr>
            <w:r/>
            <w:r>
              <w:rPr>
                <w:rFonts w:ascii="Times New Roman" w:hAnsi="Times New Roman"/>
                <w:b/>
                <w:sz w:val="18"/>
              </w:rPr>
              <w:t>CS vs Total PSD (IA)</w:t>
            </w:r>
          </w:p>
        </w:tc>
        <w:tc>
          <w:tcPr>
            <w:tcW w:type="dxa" w:w="1020"/>
          </w:tcPr>
          <w:p>
            <w:pPr>
              <w:spacing w:before="20" w:after="20"/>
              <w:jc w:val="center"/>
            </w:pPr>
            <w:r/>
            <w:r>
              <w:rPr>
                <w:rFonts w:ascii="Times New Roman" w:hAnsi="Times New Roman"/>
                <w:b/>
                <w:sz w:val="18"/>
              </w:rPr>
              <w:t>−0.168</w:t>
            </w:r>
          </w:p>
        </w:tc>
        <w:tc>
          <w:tcPr>
            <w:tcW w:type="dxa" w:w="850"/>
          </w:tcPr>
          <w:p>
            <w:pPr>
              <w:spacing w:before="20" w:after="20"/>
              <w:jc w:val="center"/>
            </w:pPr>
            <w:r/>
            <w:r>
              <w:rPr>
                <w:rFonts w:ascii="Times New Roman" w:hAnsi="Times New Roman"/>
                <w:b/>
                <w:sz w:val="18"/>
              </w:rPr>
              <w:t>0.028</w:t>
            </w:r>
          </w:p>
        </w:tc>
        <w:tc>
          <w:tcPr>
            <w:tcW w:type="dxa" w:w="1020"/>
          </w:tcPr>
          <w:p>
            <w:pPr>
              <w:spacing w:before="20" w:after="20"/>
              <w:jc w:val="center"/>
            </w:pPr>
            <w:r/>
            <w:r>
              <w:rPr>
                <w:rFonts w:ascii="Times New Roman" w:hAnsi="Times New Roman"/>
                <w:b/>
                <w:sz w:val="18"/>
              </w:rPr>
              <w:t>0.449</w:t>
            </w:r>
          </w:p>
        </w:tc>
        <w:tc>
          <w:tcPr>
            <w:tcW w:type="dxa" w:w="850"/>
          </w:tcPr>
          <w:p>
            <w:pPr>
              <w:spacing w:before="20" w:after="20"/>
              <w:jc w:val="center"/>
            </w:pPr>
            <w:r/>
            <w:r>
              <w:rPr>
                <w:rFonts w:ascii="Times New Roman" w:hAnsi="Times New Roman"/>
                <w:b/>
                <w:sz w:val="18"/>
              </w:rPr>
              <w:t>n.s.</w:t>
            </w:r>
          </w:p>
        </w:tc>
        <w:tc>
          <w:tcPr>
            <w:tcW w:type="dxa" w:w="1020"/>
          </w:tcPr>
          <w:p>
            <w:pPr>
              <w:spacing w:before="20" w:after="20"/>
              <w:jc w:val="center"/>
            </w:pPr>
            <w:r/>
            <w:r>
              <w:rPr>
                <w:rFonts w:ascii="Times New Roman" w:hAnsi="Times New Roman"/>
                <w:b/>
                <w:sz w:val="18"/>
              </w:rPr>
              <w:t>—</w:t>
            </w:r>
          </w:p>
        </w:tc>
      </w:tr>
    </w:tbl>
    <w:p/>
    <w:p>
      <w:pPr>
        <w:spacing w:after="120"/>
        <w:jc w:val="center"/>
      </w:pPr>
      <w:r>
        <w:rPr>
          <w:rFonts w:ascii="Times New Roman" w:hAnsi="Times New Roman"/>
          <w:b w:val="0"/>
          <w:i/>
          <w:sz w:val="16"/>
        </w:rPr>
        <w:t>Table 10. Pearson correlation matrix. *** p &lt; 0.01; ** p &lt; 0.05; n.s. = not significant. n = 9.</w:t>
      </w:r>
    </w:p>
    <w:p>
      <w:r>
        <w:br w:type="page"/>
      </w:r>
    </w:p>
    <w:p>
      <w:pPr>
        <w:pStyle w:val="Heading2"/>
      </w:pPr>
      <w:r>
        <w:rPr>
          <w:rFonts w:ascii="Times New Roman" w:hAnsi="Times New Roman"/>
          <w:color w:val="000050"/>
        </w:rPr>
        <w:t>References</w:t>
      </w:r>
    </w:p>
    <w:p>
      <w:pPr>
        <w:spacing w:after="120"/>
      </w:pPr>
      <w:r>
        <w:rPr>
          <w:rFonts w:ascii="Times New Roman" w:hAnsi="Times New Roman"/>
          <w:b w:val="0"/>
          <w:i w:val="0"/>
          <w:sz w:val="18"/>
        </w:rPr>
        <w:t>Chancey, R. T., Stutzman, P., Juenger, M. C. G., &amp; Fowler, D. W. (2010). Comprehensive phase characterization of crystalline and amorphous phases of a Class F fly ash. Cement and Concrete Research, 40(1), 146–156.</w:t>
      </w:r>
    </w:p>
    <w:p/>
    <w:p>
      <w:pPr>
        <w:spacing w:after="120"/>
      </w:pPr>
      <w:r>
        <w:rPr>
          <w:rFonts w:ascii="Times New Roman" w:hAnsi="Times New Roman"/>
          <w:b w:val="0"/>
          <w:i w:val="0"/>
          <w:sz w:val="18"/>
        </w:rPr>
        <w:t>Criado, M., Fernández-Jiménez, A., de la Torre, A. G., Aranda, M. A. G., &amp; Palomo, A. (2007). An XRD study of the effect of the SiO₂/Na₂O ratio on the alkali activation of fly ash. Cement and Concrete Research, 37(5), 671–679.</w:t>
      </w:r>
    </w:p>
    <w:p/>
    <w:p>
      <w:pPr>
        <w:spacing w:after="120"/>
      </w:pPr>
      <w:r>
        <w:rPr>
          <w:rFonts w:ascii="Times New Roman" w:hAnsi="Times New Roman"/>
          <w:b w:val="0"/>
          <w:i w:val="0"/>
          <w:sz w:val="18"/>
        </w:rPr>
        <w:t>Cullity, B. D., &amp; Stock, S. R. (2014). Elements of X-ray diffraction (3rd ed.). Pearson.</w:t>
      </w:r>
    </w:p>
    <w:p/>
    <w:p>
      <w:pPr>
        <w:spacing w:after="120"/>
      </w:pPr>
      <w:r>
        <w:rPr>
          <w:rFonts w:ascii="Times New Roman" w:hAnsi="Times New Roman"/>
          <w:b w:val="0"/>
          <w:i w:val="0"/>
          <w:sz w:val="18"/>
        </w:rPr>
        <w:t>Duxson, P., Fernández-Jiménez, A., Provis, J. L., Lukey, G. C., Palomo, A., &amp; van Deventer, J. S. J. (2007). Geopolymer technology: The current state of the art. Journal of Materials Science, 42(9), 2917–2933.</w:t>
      </w:r>
    </w:p>
    <w:p/>
    <w:p>
      <w:pPr>
        <w:spacing w:after="120"/>
      </w:pPr>
      <w:r>
        <w:rPr>
          <w:rFonts w:ascii="Times New Roman" w:hAnsi="Times New Roman"/>
          <w:b w:val="0"/>
          <w:i w:val="0"/>
          <w:sz w:val="18"/>
        </w:rPr>
        <w:t>García-Lodeiro, I., Palomo, A., &amp; Fernández-Jiménez, A. (2015). An overview of the chemistry of alkali-activated cement-based binders. In F. Pacheco-Torgal et al. (Eds.), Handbook of alkali-activated cements, mortars and concretes (pp. 19–47). Woodhead Publishing.</w:t>
      </w:r>
    </w:p>
    <w:p/>
    <w:p>
      <w:pPr>
        <w:spacing w:after="120"/>
      </w:pPr>
      <w:r>
        <w:rPr>
          <w:rFonts w:ascii="Times New Roman" w:hAnsi="Times New Roman"/>
          <w:b w:val="0"/>
          <w:i w:val="0"/>
          <w:sz w:val="18"/>
        </w:rPr>
        <w:t>García-Lodeiro, I., Palomo, A., Fernández-Jiménez, A., &amp; Macphee, D. E. (2011). Compatibility studies between N-A-S-H and C-A-S-H gels. Cement and Concrete Research, 41(9), 923–931.</w:t>
      </w:r>
    </w:p>
    <w:p/>
    <w:p>
      <w:pPr>
        <w:spacing w:after="120"/>
      </w:pPr>
      <w:r>
        <w:rPr>
          <w:rFonts w:ascii="Times New Roman" w:hAnsi="Times New Roman"/>
          <w:b w:val="0"/>
          <w:i w:val="0"/>
          <w:sz w:val="18"/>
        </w:rPr>
        <w:t>Ismail, I., Bernal, S. A., Provis, J. L., San Nicolas, R., Hamdan, S., &amp; van Deventer, J. S. J. (2014). Modification of phase evolution in alkali-activated blast furnace slag by the incorporation of fly ash. Cement and Concrete Composites, 45, 125–135.</w:t>
      </w:r>
    </w:p>
    <w:p/>
    <w:p>
      <w:pPr>
        <w:spacing w:after="120"/>
      </w:pPr>
      <w:r>
        <w:rPr>
          <w:rFonts w:ascii="Times New Roman" w:hAnsi="Times New Roman"/>
          <w:b w:val="0"/>
          <w:i w:val="0"/>
          <w:sz w:val="18"/>
        </w:rPr>
        <w:t>Klug, H. P., &amp; Alexander, L. E. (1974). X-ray diffraction procedures for polycrystalline and amorphous materials (2nd ed.). Wiley.</w:t>
      </w:r>
    </w:p>
    <w:p/>
    <w:p>
      <w:pPr>
        <w:spacing w:after="120"/>
      </w:pPr>
      <w:r>
        <w:rPr>
          <w:rFonts w:ascii="Times New Roman" w:hAnsi="Times New Roman"/>
          <w:b w:val="0"/>
          <w:i w:val="0"/>
          <w:sz w:val="18"/>
        </w:rPr>
        <w:t>Nath, S. K., &amp; Kumar, S. (2013). Influence of iron making slags on strength and microstructure of fly ash geopolymer. Construction and Building Materials, 38, 924–930.</w:t>
      </w:r>
    </w:p>
    <w:p/>
    <w:p>
      <w:pPr>
        <w:spacing w:after="120"/>
      </w:pPr>
      <w:r>
        <w:rPr>
          <w:rFonts w:ascii="Times New Roman" w:hAnsi="Times New Roman"/>
          <w:b w:val="0"/>
          <w:i w:val="0"/>
          <w:sz w:val="18"/>
        </w:rPr>
        <w:t>Provis, J. L., &amp; Bernal, S. A. (2014). Geopolymers and related alkali-activated materials. Annual Review of Materials Research, 44, 299–327.</w:t>
      </w:r>
    </w:p>
    <w:p/>
    <w:p>
      <w:pPr>
        <w:spacing w:after="120"/>
      </w:pPr>
      <w:r>
        <w:rPr>
          <w:rFonts w:ascii="Times New Roman" w:hAnsi="Times New Roman"/>
          <w:b w:val="0"/>
          <w:i w:val="0"/>
          <w:sz w:val="18"/>
        </w:rPr>
        <w:t>Puligilla, S., &amp; Mondal, P. (2013). Role of slag in microstructural development and hardening of fly ash-slag geopolymer. Cement and Concrete Research, 43, 70–80.</w:t>
      </w:r>
    </w:p>
    <w:p/>
    <w:p>
      <w:pPr>
        <w:spacing w:after="120"/>
      </w:pPr>
      <w:r>
        <w:rPr>
          <w:rFonts w:ascii="Times New Roman" w:hAnsi="Times New Roman"/>
          <w:b w:val="0"/>
          <w:i w:val="0"/>
          <w:sz w:val="18"/>
        </w:rPr>
        <w:t>Scrivener, K. L., Snellings, R., &amp; Lothenbach, B. (Eds.). (2016). A practical guide to microstructural analysis of cementitious materials. CRC Press.</w:t>
      </w:r>
    </w:p>
    <w:p/>
    <w:p>
      <w:pPr>
        <w:spacing w:after="120"/>
      </w:pPr>
      <w:r>
        <w:rPr>
          <w:rFonts w:ascii="Times New Roman" w:hAnsi="Times New Roman"/>
          <w:b w:val="0"/>
          <w:i w:val="0"/>
          <w:sz w:val="18"/>
        </w:rPr>
        <w:t>Walkley, B., San Nicolas, R., Sani, M. A., Rees, G. J., Hanna, J. V., van Deventer, J. S. J., &amp; Provis, J. L. (2016). Phase evolution of C-(N)-A-S-H/N-A-S-H gel blends. Cement and Concrete Research, 89, 120–135.</w:t>
      </w:r>
    </w:p>
    <w:p/>
    <w:p>
      <w:pPr>
        <w:spacing w:after="120"/>
      </w:pPr>
      <w:r>
        <w:rPr>
          <w:rFonts w:ascii="Times New Roman" w:hAnsi="Times New Roman"/>
          <w:b w:val="0"/>
          <w:i w:val="0"/>
          <w:sz w:val="18"/>
        </w:rPr>
        <w:t>Williams, R. P., &amp; Van Riessen, A. (2010). Determination of the reactive component of fly ashes for geopolymer production using XRF and XRD. Fuel, 89(12), 3683–3692.</w:t>
      </w:r>
    </w:p>
    <w:p/>
    <w:p>
      <w:r>
        <w:br w:type="page"/>
      </w:r>
    </w:p>
    <w:p>
      <w:pPr>
        <w:spacing w:after="120"/>
        <w:jc w:val="center"/>
      </w:pPr>
      <w:r>
        <w:rPr>
          <w:rFonts w:ascii="Times New Roman" w:hAnsi="Times New Roman"/>
          <w:b w:val="0"/>
          <w:i/>
          <w:sz w:val="20"/>
        </w:rPr>
        <w:t>--- End of Manuscript Section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