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E2EF" w14:textId="77777777" w:rsidR="009836CB" w:rsidRDefault="009836CB">
      <w:pPr>
        <w:spacing w:before="1600"/>
      </w:pPr>
    </w:p>
    <w:p w14:paraId="33EBA945" w14:textId="77777777" w:rsidR="00A060AA" w:rsidRDefault="00A060AA">
      <w:pPr>
        <w:spacing w:before="1600"/>
      </w:pPr>
    </w:p>
    <w:p w14:paraId="244EB0BC" w14:textId="77777777" w:rsidR="009836CB" w:rsidRDefault="00000000">
      <w:pPr>
        <w:jc w:val="center"/>
      </w:pPr>
      <w:r>
        <w:rPr>
          <w:b/>
          <w:bCs/>
          <w:color w:val="2E5395"/>
          <w:spacing w:val="40"/>
          <w:sz w:val="28"/>
          <w:szCs w:val="28"/>
        </w:rPr>
        <w:t>PHASE 1</w:t>
      </w:r>
    </w:p>
    <w:p w14:paraId="79DEE1D4" w14:textId="77777777" w:rsidR="009836CB" w:rsidRDefault="00000000">
      <w:pPr>
        <w:spacing w:before="100" w:after="400"/>
        <w:jc w:val="center"/>
      </w:pPr>
      <w:r>
        <w:rPr>
          <w:color w:val="595959"/>
          <w:sz w:val="24"/>
          <w:szCs w:val="24"/>
        </w:rPr>
        <w:t>Synopsis &amp; Entity-Relationship Diagram</w:t>
      </w:r>
    </w:p>
    <w:p w14:paraId="768A716E" w14:textId="77777777" w:rsidR="009836CB" w:rsidRDefault="00000000">
      <w:pPr>
        <w:spacing w:before="600" w:after="200"/>
        <w:jc w:val="center"/>
      </w:pPr>
      <w:proofErr w:type="spellStart"/>
      <w:r>
        <w:rPr>
          <w:b/>
          <w:bCs/>
          <w:color w:val="1F3864"/>
          <w:sz w:val="56"/>
          <w:szCs w:val="56"/>
        </w:rPr>
        <w:t>IntegrityAI</w:t>
      </w:r>
      <w:proofErr w:type="spellEnd"/>
    </w:p>
    <w:p w14:paraId="382E8D0F" w14:textId="77777777" w:rsidR="009836CB" w:rsidRDefault="00000000">
      <w:pPr>
        <w:spacing w:after="800"/>
        <w:jc w:val="center"/>
        <w:rPr>
          <w:i/>
          <w:iCs/>
          <w:color w:val="2E5395"/>
          <w:sz w:val="26"/>
          <w:szCs w:val="26"/>
        </w:rPr>
      </w:pPr>
      <w:r>
        <w:rPr>
          <w:i/>
          <w:iCs/>
          <w:color w:val="2E5395"/>
          <w:sz w:val="26"/>
          <w:szCs w:val="26"/>
        </w:rPr>
        <w:t>AI-Powered Academic Integrity &amp; Assignment Evaluation Platform</w:t>
      </w:r>
    </w:p>
    <w:p w14:paraId="27D264A0" w14:textId="1B3071DD" w:rsidR="00A060AA" w:rsidRPr="00A060AA" w:rsidRDefault="00A060AA" w:rsidP="00A060AA">
      <w:pPr>
        <w:spacing w:after="800"/>
        <w:jc w:val="center"/>
        <w:rPr>
          <w:color w:val="2E5395"/>
          <w:sz w:val="26"/>
          <w:szCs w:val="26"/>
        </w:rPr>
      </w:pPr>
      <w:r w:rsidRPr="00A060AA">
        <w:rPr>
          <w:b/>
          <w:bCs/>
          <w:color w:val="002060"/>
          <w:sz w:val="26"/>
          <w:szCs w:val="26"/>
        </w:rPr>
        <w:t xml:space="preserve">Team </w:t>
      </w:r>
      <w:proofErr w:type="gramStart"/>
      <w:r w:rsidRPr="00A060AA">
        <w:rPr>
          <w:b/>
          <w:bCs/>
          <w:color w:val="002060"/>
          <w:sz w:val="26"/>
          <w:szCs w:val="26"/>
        </w:rPr>
        <w:t>Members:-</w:t>
      </w:r>
      <w:proofErr w:type="gramEnd"/>
      <w:r>
        <w:rPr>
          <w:i/>
          <w:iCs/>
          <w:color w:val="2E5395"/>
          <w:sz w:val="26"/>
          <w:szCs w:val="26"/>
        </w:rPr>
        <w:br/>
      </w:r>
      <w:proofErr w:type="spellStart"/>
      <w:r w:rsidRPr="00A060AA">
        <w:rPr>
          <w:color w:val="2E5395"/>
          <w:sz w:val="26"/>
          <w:szCs w:val="26"/>
        </w:rPr>
        <w:t>Aarmee</w:t>
      </w:r>
      <w:proofErr w:type="spellEnd"/>
      <w:r w:rsidRPr="00A060AA">
        <w:rPr>
          <w:color w:val="2E5395"/>
          <w:sz w:val="26"/>
          <w:szCs w:val="26"/>
        </w:rPr>
        <w:t xml:space="preserve"> Patel (A001</w:t>
      </w:r>
      <w:proofErr w:type="gramStart"/>
      <w:r w:rsidRPr="00A060AA">
        <w:rPr>
          <w:color w:val="2E5395"/>
          <w:sz w:val="26"/>
          <w:szCs w:val="26"/>
        </w:rPr>
        <w:t>) ,</w:t>
      </w:r>
      <w:proofErr w:type="gramEnd"/>
      <w:r>
        <w:rPr>
          <w:color w:val="2E5395"/>
          <w:sz w:val="26"/>
          <w:szCs w:val="26"/>
        </w:rPr>
        <w:t xml:space="preserve"> </w:t>
      </w:r>
      <w:r w:rsidRPr="00A060AA">
        <w:rPr>
          <w:color w:val="2E5395"/>
          <w:sz w:val="26"/>
          <w:szCs w:val="26"/>
        </w:rPr>
        <w:t xml:space="preserve">Kirti </w:t>
      </w:r>
      <w:proofErr w:type="spellStart"/>
      <w:r w:rsidRPr="00A060AA">
        <w:rPr>
          <w:color w:val="2E5395"/>
          <w:sz w:val="26"/>
          <w:szCs w:val="26"/>
        </w:rPr>
        <w:t>Gummerla</w:t>
      </w:r>
      <w:proofErr w:type="spellEnd"/>
      <w:r w:rsidRPr="00A060AA">
        <w:rPr>
          <w:color w:val="2E5395"/>
          <w:sz w:val="26"/>
          <w:szCs w:val="26"/>
        </w:rPr>
        <w:t xml:space="preserve"> (A027</w:t>
      </w:r>
      <w:proofErr w:type="gramStart"/>
      <w:r w:rsidRPr="00A060AA">
        <w:rPr>
          <w:color w:val="2E5395"/>
          <w:sz w:val="26"/>
          <w:szCs w:val="26"/>
        </w:rPr>
        <w:t>) ,</w:t>
      </w:r>
      <w:proofErr w:type="gramEnd"/>
      <w:r w:rsidRPr="00A060AA">
        <w:rPr>
          <w:color w:val="2E5395"/>
          <w:sz w:val="26"/>
          <w:szCs w:val="26"/>
        </w:rPr>
        <w:t xml:space="preserve"> Richa Patel (A035)</w:t>
      </w:r>
    </w:p>
    <w:p w14:paraId="3DBFFF1F" w14:textId="77777777" w:rsidR="009836CB" w:rsidRDefault="009836CB">
      <w:pPr>
        <w:sectPr w:rsidR="009836CB">
          <w:pgSz w:w="11906" w:h="16838"/>
          <w:pgMar w:top="1440" w:right="1440" w:bottom="1440" w:left="1440" w:header="708" w:footer="708" w:gutter="0"/>
          <w:cols w:space="720"/>
          <w:docGrid w:linePitch="360"/>
        </w:sectPr>
      </w:pPr>
    </w:p>
    <w:p w14:paraId="09AB0B2D" w14:textId="77777777" w:rsidR="009836CB" w:rsidRDefault="00000000">
      <w:pPr>
        <w:pStyle w:val="Heading1"/>
        <w:pBdr>
          <w:bottom w:val="single" w:sz="6" w:space="4" w:color="2E5395"/>
        </w:pBdr>
        <w:spacing w:before="360" w:after="160"/>
      </w:pPr>
      <w:r>
        <w:rPr>
          <w:b/>
          <w:bCs/>
          <w:color w:val="1F3864"/>
          <w:sz w:val="30"/>
          <w:szCs w:val="30"/>
        </w:rPr>
        <w:lastRenderedPageBreak/>
        <w:t>1. Introduction</w:t>
      </w:r>
    </w:p>
    <w:p w14:paraId="01D878B2" w14:textId="77777777" w:rsidR="009836CB" w:rsidRDefault="00000000">
      <w:pPr>
        <w:spacing w:after="160" w:line="300" w:lineRule="auto"/>
        <w:jc w:val="both"/>
      </w:pPr>
      <w:proofErr w:type="spellStart"/>
      <w:r>
        <w:rPr>
          <w:color w:val="222222"/>
          <w:sz w:val="22"/>
          <w:szCs w:val="22"/>
        </w:rPr>
        <w:t>IntegrityAI</w:t>
      </w:r>
      <w:proofErr w:type="spellEnd"/>
      <w:r>
        <w:rPr>
          <w:color w:val="222222"/>
          <w:sz w:val="22"/>
          <w:szCs w:val="22"/>
        </w:rPr>
        <w:t xml:space="preserve"> is a microservices-based, AI-powered platform designed to help colleges and universities safeguard academic integrity across both written assignments and programming submissions. As generative AI tools such as ChatGPT, Claude, and Gemini become widely accessible, students can produce fluent, well-structured essays and functioning code in seconds — making traditional plagiarism checkers, which are built primarily around text-matching, increasingly insufficient. </w:t>
      </w:r>
      <w:proofErr w:type="spellStart"/>
      <w:r>
        <w:rPr>
          <w:color w:val="222222"/>
          <w:sz w:val="22"/>
          <w:szCs w:val="22"/>
        </w:rPr>
        <w:t>IntegrityAI</w:t>
      </w:r>
      <w:proofErr w:type="spellEnd"/>
      <w:r>
        <w:rPr>
          <w:color w:val="222222"/>
          <w:sz w:val="22"/>
          <w:szCs w:val="22"/>
        </w:rPr>
        <w:t xml:space="preserve"> addresses this gap by combining text-similarity detection, AI-generated-content estimation, and code-plagiarism analysis into a single explainable workflow that faculty can trust and act on.</w:t>
      </w:r>
    </w:p>
    <w:p w14:paraId="689AF2BE" w14:textId="77777777" w:rsidR="009836CB" w:rsidRDefault="00000000">
      <w:pPr>
        <w:spacing w:after="160" w:line="300" w:lineRule="auto"/>
        <w:jc w:val="both"/>
      </w:pPr>
      <w:r>
        <w:rPr>
          <w:color w:val="222222"/>
          <w:sz w:val="22"/>
          <w:szCs w:val="22"/>
        </w:rPr>
        <w:t>The system is built as a set of independently deployable microservices, each responsible for a well-defined part of the workflow — authentication, submission handling, AI-based analysis, faculty review, notifications, and report generation. This architecture was chosen deliberately: it mirrors how real academic-integrity platforms are built at scale, allows each service to use the database and technology best suited to its job, and keeps the system resilient — for example, if the AI Analysis Service is temporarily unavailable, assignment submission itself does not fail.</w:t>
      </w:r>
    </w:p>
    <w:p w14:paraId="1B5F5811" w14:textId="77777777" w:rsidR="009836CB" w:rsidRDefault="00000000">
      <w:pPr>
        <w:pStyle w:val="Heading1"/>
        <w:pBdr>
          <w:bottom w:val="single" w:sz="6" w:space="4" w:color="2E5395"/>
        </w:pBdr>
        <w:spacing w:before="360" w:after="160"/>
      </w:pPr>
      <w:r>
        <w:rPr>
          <w:b/>
          <w:bCs/>
          <w:color w:val="1F3864"/>
          <w:sz w:val="30"/>
          <w:szCs w:val="30"/>
        </w:rPr>
        <w:t>2. Problem Statement</w:t>
      </w:r>
    </w:p>
    <w:p w14:paraId="33C24404" w14:textId="77777777" w:rsidR="009836CB" w:rsidRDefault="00000000">
      <w:pPr>
        <w:spacing w:after="160" w:line="300" w:lineRule="auto"/>
        <w:jc w:val="both"/>
      </w:pPr>
      <w:r>
        <w:rPr>
          <w:color w:val="222222"/>
          <w:sz w:val="22"/>
          <w:szCs w:val="22"/>
        </w:rPr>
        <w:t>Educational institutions are increasingly unable to reliably verify the originality and authorship of student submissions. The core issues driving this problem are:</w:t>
      </w:r>
    </w:p>
    <w:p w14:paraId="3EB81E00" w14:textId="77777777" w:rsidR="009836CB" w:rsidRDefault="00000000">
      <w:pPr>
        <w:pStyle w:val="ListParagraph"/>
        <w:numPr>
          <w:ilvl w:val="0"/>
          <w:numId w:val="2"/>
        </w:numPr>
        <w:spacing w:after="90" w:line="280" w:lineRule="auto"/>
      </w:pPr>
      <w:r>
        <w:rPr>
          <w:b/>
          <w:bCs/>
          <w:color w:val="222222"/>
          <w:sz w:val="22"/>
          <w:szCs w:val="22"/>
        </w:rPr>
        <w:t xml:space="preserve">AI-generated assignments — </w:t>
      </w:r>
      <w:r>
        <w:rPr>
          <w:color w:val="222222"/>
          <w:sz w:val="22"/>
          <w:szCs w:val="22"/>
        </w:rPr>
        <w:t>students can generate essays, reports, and even code using tools like ChatGPT, Claude, and Gemini, and current detection tools struggle to keep pace.</w:t>
      </w:r>
    </w:p>
    <w:p w14:paraId="3863C9F5" w14:textId="77777777" w:rsidR="009836CB" w:rsidRDefault="00000000">
      <w:pPr>
        <w:pStyle w:val="ListParagraph"/>
        <w:numPr>
          <w:ilvl w:val="0"/>
          <w:numId w:val="2"/>
        </w:numPr>
        <w:spacing w:after="90" w:line="280" w:lineRule="auto"/>
      </w:pPr>
      <w:r>
        <w:rPr>
          <w:b/>
          <w:bCs/>
          <w:color w:val="222222"/>
          <w:sz w:val="22"/>
          <w:szCs w:val="22"/>
        </w:rPr>
        <w:t xml:space="preserve">Paraphrased plagiarism — </w:t>
      </w:r>
      <w:r>
        <w:rPr>
          <w:color w:val="222222"/>
          <w:sz w:val="22"/>
          <w:szCs w:val="22"/>
        </w:rPr>
        <w:t>reworded or lightly rephrased content evades traditional string- and n-gram-matching similarity checkers.</w:t>
      </w:r>
    </w:p>
    <w:p w14:paraId="67477B51" w14:textId="77777777" w:rsidR="009836CB" w:rsidRDefault="00000000">
      <w:pPr>
        <w:pStyle w:val="ListParagraph"/>
        <w:numPr>
          <w:ilvl w:val="0"/>
          <w:numId w:val="2"/>
        </w:numPr>
        <w:spacing w:after="90" w:line="280" w:lineRule="auto"/>
      </w:pPr>
      <w:r>
        <w:rPr>
          <w:b/>
          <w:bCs/>
          <w:color w:val="222222"/>
          <w:sz w:val="22"/>
          <w:szCs w:val="22"/>
        </w:rPr>
        <w:t xml:space="preserve">Code plagiarism — </w:t>
      </w:r>
      <w:r>
        <w:rPr>
          <w:color w:val="222222"/>
          <w:sz w:val="22"/>
          <w:szCs w:val="22"/>
        </w:rPr>
        <w:t>students submit renamed-variable or logically restructured versions of the same solution, which simple text-diff tools fail to catch.</w:t>
      </w:r>
    </w:p>
    <w:p w14:paraId="3C52BEEC" w14:textId="77777777" w:rsidR="009836CB" w:rsidRDefault="00000000">
      <w:pPr>
        <w:pStyle w:val="ListParagraph"/>
        <w:numPr>
          <w:ilvl w:val="0"/>
          <w:numId w:val="2"/>
        </w:numPr>
        <w:spacing w:after="90" w:line="280" w:lineRule="auto"/>
      </w:pPr>
      <w:r>
        <w:rPr>
          <w:b/>
          <w:bCs/>
          <w:color w:val="222222"/>
          <w:sz w:val="22"/>
          <w:szCs w:val="22"/>
        </w:rPr>
        <w:t xml:space="preserve">Contract cheating — </w:t>
      </w:r>
      <w:r>
        <w:rPr>
          <w:color w:val="222222"/>
          <w:sz w:val="22"/>
          <w:szCs w:val="22"/>
        </w:rPr>
        <w:t>assignments completed by a third party are difficult to flag without deeper behavioural or stylistic signals.</w:t>
      </w:r>
    </w:p>
    <w:p w14:paraId="4D733E2C" w14:textId="77777777" w:rsidR="009836CB" w:rsidRDefault="00000000">
      <w:pPr>
        <w:pStyle w:val="ListParagraph"/>
        <w:numPr>
          <w:ilvl w:val="0"/>
          <w:numId w:val="2"/>
        </w:numPr>
        <w:spacing w:after="90" w:line="280" w:lineRule="auto"/>
      </w:pPr>
      <w:r>
        <w:rPr>
          <w:b/>
          <w:bCs/>
          <w:color w:val="222222"/>
          <w:sz w:val="22"/>
          <w:szCs w:val="22"/>
        </w:rPr>
        <w:t xml:space="preserve">Faculty workload — </w:t>
      </w:r>
      <w:r>
        <w:rPr>
          <w:color w:val="222222"/>
          <w:sz w:val="22"/>
          <w:szCs w:val="22"/>
        </w:rPr>
        <w:t>manually cross-checking every submission for originality is time-consuming and does not scale with class sizes.</w:t>
      </w:r>
    </w:p>
    <w:p w14:paraId="5925010A" w14:textId="77777777" w:rsidR="009836CB" w:rsidRDefault="00000000">
      <w:pPr>
        <w:spacing w:after="160" w:line="300" w:lineRule="auto"/>
        <w:jc w:val="both"/>
      </w:pPr>
      <w:r>
        <w:rPr>
          <w:color w:val="222222"/>
          <w:sz w:val="22"/>
          <w:szCs w:val="22"/>
        </w:rPr>
        <w:t xml:space="preserve">Existing tools only address fragments of this problem. Turnitin focuses on text similarity and offers limited support for AI-generated content; MOSS is effective for code similarity but has no text or AI-content capability; </w:t>
      </w:r>
      <w:proofErr w:type="spellStart"/>
      <w:r>
        <w:rPr>
          <w:color w:val="222222"/>
          <w:sz w:val="22"/>
          <w:szCs w:val="22"/>
        </w:rPr>
        <w:t>GPTZero</w:t>
      </w:r>
      <w:proofErr w:type="spellEnd"/>
      <w:r>
        <w:rPr>
          <w:color w:val="222222"/>
          <w:sz w:val="22"/>
          <w:szCs w:val="22"/>
        </w:rPr>
        <w:t xml:space="preserve"> flags AI-generated text but does not check plagiarism; </w:t>
      </w:r>
      <w:proofErr w:type="spellStart"/>
      <w:r>
        <w:rPr>
          <w:color w:val="222222"/>
          <w:sz w:val="22"/>
          <w:szCs w:val="22"/>
        </w:rPr>
        <w:t>Copyleaks</w:t>
      </w:r>
      <w:proofErr w:type="spellEnd"/>
      <w:r>
        <w:rPr>
          <w:color w:val="222222"/>
          <w:sz w:val="22"/>
          <w:szCs w:val="22"/>
        </w:rPr>
        <w:t xml:space="preserve"> lacks integrated code-plagiarism and academic-workflow features; and </w:t>
      </w:r>
      <w:proofErr w:type="spellStart"/>
      <w:r>
        <w:rPr>
          <w:color w:val="222222"/>
          <w:sz w:val="22"/>
          <w:szCs w:val="22"/>
        </w:rPr>
        <w:t>CodeGrade</w:t>
      </w:r>
      <w:proofErr w:type="spellEnd"/>
      <w:r>
        <w:rPr>
          <w:color w:val="222222"/>
          <w:sz w:val="22"/>
          <w:szCs w:val="22"/>
        </w:rPr>
        <w:t xml:space="preserve"> is oriented toward grading rather than integrity analysis as a whole. No existing solution unifies text plagiarism, code plagiarism, and AI-content detection into one explainable, risk-scored workflow — this is the gap </w:t>
      </w:r>
      <w:proofErr w:type="spellStart"/>
      <w:r>
        <w:rPr>
          <w:color w:val="222222"/>
          <w:sz w:val="22"/>
          <w:szCs w:val="22"/>
        </w:rPr>
        <w:t>IntegrityAI</w:t>
      </w:r>
      <w:proofErr w:type="spellEnd"/>
      <w:r>
        <w:rPr>
          <w:color w:val="222222"/>
          <w:sz w:val="22"/>
          <w:szCs w:val="22"/>
        </w:rPr>
        <w:t xml:space="preserve"> is designed to fill.</w:t>
      </w:r>
    </w:p>
    <w:p w14:paraId="7BA5BB6A" w14:textId="77777777" w:rsidR="009836CB" w:rsidRDefault="00000000">
      <w:pPr>
        <w:pStyle w:val="Heading1"/>
        <w:pBdr>
          <w:bottom w:val="single" w:sz="6" w:space="4" w:color="2E5395"/>
        </w:pBdr>
        <w:spacing w:before="360" w:after="160"/>
      </w:pPr>
      <w:r>
        <w:rPr>
          <w:b/>
          <w:bCs/>
          <w:color w:val="1F3864"/>
          <w:sz w:val="30"/>
          <w:szCs w:val="30"/>
        </w:rPr>
        <w:t>3. Objectives</w:t>
      </w:r>
    </w:p>
    <w:p w14:paraId="2013C918" w14:textId="77777777" w:rsidR="009836CB" w:rsidRDefault="00000000">
      <w:pPr>
        <w:pStyle w:val="ListParagraph"/>
        <w:numPr>
          <w:ilvl w:val="0"/>
          <w:numId w:val="2"/>
        </w:numPr>
        <w:spacing w:after="90" w:line="280" w:lineRule="auto"/>
      </w:pPr>
      <w:r>
        <w:rPr>
          <w:color w:val="222222"/>
          <w:sz w:val="22"/>
          <w:szCs w:val="22"/>
        </w:rPr>
        <w:lastRenderedPageBreak/>
        <w:t>Design and build a single platform capable of analysing both text-based and code-based submissions for originality.</w:t>
      </w:r>
    </w:p>
    <w:p w14:paraId="321673AA" w14:textId="77777777" w:rsidR="009836CB" w:rsidRDefault="00000000">
      <w:pPr>
        <w:pStyle w:val="ListParagraph"/>
        <w:numPr>
          <w:ilvl w:val="0"/>
          <w:numId w:val="2"/>
        </w:numPr>
        <w:spacing w:after="90" w:line="280" w:lineRule="auto"/>
      </w:pPr>
      <w:r>
        <w:rPr>
          <w:color w:val="222222"/>
          <w:sz w:val="22"/>
          <w:szCs w:val="22"/>
        </w:rPr>
        <w:t>Estimate the likelihood that a submission (text or code) was generated or substantially assisted by an AI tool, using multiple corroborating signals rather than a single classifier.</w:t>
      </w:r>
    </w:p>
    <w:p w14:paraId="22600159" w14:textId="77777777" w:rsidR="009836CB" w:rsidRDefault="00000000">
      <w:pPr>
        <w:pStyle w:val="ListParagraph"/>
        <w:numPr>
          <w:ilvl w:val="0"/>
          <w:numId w:val="2"/>
        </w:numPr>
        <w:spacing w:after="90" w:line="280" w:lineRule="auto"/>
      </w:pPr>
      <w:r>
        <w:rPr>
          <w:color w:val="222222"/>
          <w:sz w:val="22"/>
          <w:szCs w:val="22"/>
        </w:rPr>
        <w:t>Detect paraphrased plagiarism using semantic similarity (embeddings) rather than relying solely on surface-level text matching.</w:t>
      </w:r>
    </w:p>
    <w:p w14:paraId="58207CD6" w14:textId="77777777" w:rsidR="009836CB" w:rsidRDefault="00000000">
      <w:pPr>
        <w:pStyle w:val="ListParagraph"/>
        <w:numPr>
          <w:ilvl w:val="0"/>
          <w:numId w:val="2"/>
        </w:numPr>
        <w:spacing w:after="90" w:line="280" w:lineRule="auto"/>
      </w:pPr>
      <w:r>
        <w:rPr>
          <w:color w:val="222222"/>
          <w:sz w:val="22"/>
          <w:szCs w:val="22"/>
        </w:rPr>
        <w:t>Detect code plagiarism robustly, including cases involving variable renaming and logical restructuring, using AST-based comparison and token similarity.</w:t>
      </w:r>
    </w:p>
    <w:p w14:paraId="7161FED9" w14:textId="77777777" w:rsidR="009836CB" w:rsidRDefault="00000000">
      <w:pPr>
        <w:pStyle w:val="ListParagraph"/>
        <w:numPr>
          <w:ilvl w:val="0"/>
          <w:numId w:val="2"/>
        </w:numPr>
        <w:spacing w:after="90" w:line="280" w:lineRule="auto"/>
      </w:pPr>
      <w:r>
        <w:rPr>
          <w:color w:val="222222"/>
          <w:sz w:val="22"/>
          <w:szCs w:val="22"/>
        </w:rPr>
        <w:t>Generate a unified, explainable integrity risk score (Low / Medium / High) instead of a raw, hard-to-interpret similarity percentage.</w:t>
      </w:r>
    </w:p>
    <w:p w14:paraId="577AB441" w14:textId="77777777" w:rsidR="009836CB" w:rsidRDefault="00000000">
      <w:pPr>
        <w:pStyle w:val="ListParagraph"/>
        <w:numPr>
          <w:ilvl w:val="0"/>
          <w:numId w:val="2"/>
        </w:numPr>
        <w:spacing w:after="90" w:line="280" w:lineRule="auto"/>
      </w:pPr>
      <w:r>
        <w:rPr>
          <w:color w:val="222222"/>
          <w:sz w:val="22"/>
          <w:szCs w:val="22"/>
        </w:rPr>
        <w:t>Provide faculty with a clear, actionable dashboard and downloadable report summarising findings for each submission.</w:t>
      </w:r>
    </w:p>
    <w:p w14:paraId="19621156" w14:textId="77777777" w:rsidR="009836CB" w:rsidRDefault="00000000">
      <w:pPr>
        <w:pStyle w:val="ListParagraph"/>
        <w:numPr>
          <w:ilvl w:val="0"/>
          <w:numId w:val="2"/>
        </w:numPr>
        <w:spacing w:after="90" w:line="280" w:lineRule="auto"/>
      </w:pPr>
      <w:r>
        <w:rPr>
          <w:color w:val="222222"/>
          <w:sz w:val="22"/>
          <w:szCs w:val="22"/>
        </w:rPr>
        <w:t>Build the system as independently deployable microservices to demonstrate scalable, production-style architecture, including asynchronous processing, service discovery, and fault tolerance.</w:t>
      </w:r>
    </w:p>
    <w:p w14:paraId="623FBD0C" w14:textId="77777777" w:rsidR="009836CB" w:rsidRDefault="00000000">
      <w:pPr>
        <w:pStyle w:val="Heading1"/>
        <w:pBdr>
          <w:bottom w:val="single" w:sz="6" w:space="4" w:color="2E5395"/>
        </w:pBdr>
        <w:spacing w:before="360" w:after="160"/>
      </w:pPr>
      <w:r>
        <w:rPr>
          <w:b/>
          <w:bCs/>
          <w:color w:val="1F3864"/>
          <w:sz w:val="30"/>
          <w:szCs w:val="30"/>
        </w:rPr>
        <w:t>4. Scope of the Project</w:t>
      </w:r>
    </w:p>
    <w:p w14:paraId="42446707" w14:textId="77777777" w:rsidR="009836CB" w:rsidRDefault="00000000">
      <w:pPr>
        <w:pStyle w:val="Heading2"/>
        <w:spacing w:before="260" w:after="120"/>
      </w:pPr>
      <w:r>
        <w:rPr>
          <w:b/>
          <w:bCs/>
          <w:color w:val="2E5395"/>
          <w:sz w:val="24"/>
          <w:szCs w:val="24"/>
        </w:rPr>
        <w:t>4.1 In Scope</w:t>
      </w:r>
    </w:p>
    <w:p w14:paraId="55314013" w14:textId="77777777" w:rsidR="009836CB" w:rsidRDefault="00000000">
      <w:pPr>
        <w:pStyle w:val="ListParagraph"/>
        <w:numPr>
          <w:ilvl w:val="0"/>
          <w:numId w:val="2"/>
        </w:numPr>
        <w:spacing w:after="90" w:line="280" w:lineRule="auto"/>
      </w:pPr>
      <w:r>
        <w:rPr>
          <w:color w:val="222222"/>
          <w:sz w:val="22"/>
          <w:szCs w:val="22"/>
        </w:rPr>
        <w:t>Role-based access for Students, Faculty, and Admin users.</w:t>
      </w:r>
    </w:p>
    <w:p w14:paraId="5D73EC25" w14:textId="77777777" w:rsidR="009836CB" w:rsidRDefault="00000000">
      <w:pPr>
        <w:pStyle w:val="ListParagraph"/>
        <w:numPr>
          <w:ilvl w:val="0"/>
          <w:numId w:val="2"/>
        </w:numPr>
        <w:spacing w:after="90" w:line="280" w:lineRule="auto"/>
      </w:pPr>
      <w:r>
        <w:rPr>
          <w:color w:val="222222"/>
          <w:sz w:val="22"/>
          <w:szCs w:val="22"/>
        </w:rPr>
        <w:t>Assignment creation and submission handling for PDF, DOCX, ZIP, and source-code files (Java, C++, Python).</w:t>
      </w:r>
    </w:p>
    <w:p w14:paraId="43374013" w14:textId="77777777" w:rsidR="009836CB" w:rsidRDefault="00000000">
      <w:pPr>
        <w:pStyle w:val="ListParagraph"/>
        <w:numPr>
          <w:ilvl w:val="0"/>
          <w:numId w:val="2"/>
        </w:numPr>
        <w:spacing w:after="90" w:line="280" w:lineRule="auto"/>
      </w:pPr>
      <w:r>
        <w:rPr>
          <w:color w:val="222222"/>
          <w:sz w:val="22"/>
          <w:szCs w:val="22"/>
        </w:rPr>
        <w:t>Automated text-similarity detection, semantic similarity checking, and stylometric writing-consistency analysis.</w:t>
      </w:r>
    </w:p>
    <w:p w14:paraId="39A203AD" w14:textId="77777777" w:rsidR="009836CB" w:rsidRDefault="00000000">
      <w:pPr>
        <w:pStyle w:val="ListParagraph"/>
        <w:numPr>
          <w:ilvl w:val="0"/>
          <w:numId w:val="2"/>
        </w:numPr>
        <w:spacing w:after="90" w:line="280" w:lineRule="auto"/>
      </w:pPr>
      <w:r>
        <w:rPr>
          <w:color w:val="222222"/>
          <w:sz w:val="22"/>
          <w:szCs w:val="22"/>
        </w:rPr>
        <w:t xml:space="preserve">Automated code-similarity detection using AST parsing, token comparison, and </w:t>
      </w:r>
      <w:proofErr w:type="spellStart"/>
      <w:r>
        <w:rPr>
          <w:color w:val="222222"/>
          <w:sz w:val="22"/>
          <w:szCs w:val="22"/>
        </w:rPr>
        <w:t>Levenshtein</w:t>
      </w:r>
      <w:proofErr w:type="spellEnd"/>
      <w:r>
        <w:rPr>
          <w:color w:val="222222"/>
          <w:sz w:val="22"/>
          <w:szCs w:val="22"/>
        </w:rPr>
        <w:t xml:space="preserve"> distance.</w:t>
      </w:r>
    </w:p>
    <w:p w14:paraId="1773D778" w14:textId="77777777" w:rsidR="009836CB" w:rsidRDefault="00000000">
      <w:pPr>
        <w:pStyle w:val="ListParagraph"/>
        <w:numPr>
          <w:ilvl w:val="0"/>
          <w:numId w:val="2"/>
        </w:numPr>
        <w:spacing w:after="90" w:line="280" w:lineRule="auto"/>
      </w:pPr>
      <w:r>
        <w:rPr>
          <w:color w:val="222222"/>
          <w:sz w:val="22"/>
          <w:szCs w:val="22"/>
        </w:rPr>
        <w:t>AI-generated content estimation for both text and code, using multiple signals (perplexity, burstiness, stylometric consistency).</w:t>
      </w:r>
    </w:p>
    <w:p w14:paraId="521DE558" w14:textId="77777777" w:rsidR="009836CB" w:rsidRDefault="00000000">
      <w:pPr>
        <w:pStyle w:val="ListParagraph"/>
        <w:numPr>
          <w:ilvl w:val="0"/>
          <w:numId w:val="2"/>
        </w:numPr>
        <w:spacing w:after="90" w:line="280" w:lineRule="auto"/>
      </w:pPr>
      <w:r>
        <w:rPr>
          <w:color w:val="222222"/>
          <w:sz w:val="22"/>
          <w:szCs w:val="22"/>
        </w:rPr>
        <w:t>Automatic, event-driven analysis pipeline triggered on submission, with asynchronous notifications.</w:t>
      </w:r>
    </w:p>
    <w:p w14:paraId="5FF43722" w14:textId="77777777" w:rsidR="009836CB" w:rsidRDefault="00000000">
      <w:pPr>
        <w:pStyle w:val="ListParagraph"/>
        <w:numPr>
          <w:ilvl w:val="0"/>
          <w:numId w:val="2"/>
        </w:numPr>
        <w:spacing w:after="90" w:line="280" w:lineRule="auto"/>
      </w:pPr>
      <w:r>
        <w:rPr>
          <w:color w:val="222222"/>
          <w:sz w:val="22"/>
          <w:szCs w:val="22"/>
        </w:rPr>
        <w:t>Faculty dashboard for reviewing reports, adding remarks, and approving or rejecting submissions.</w:t>
      </w:r>
    </w:p>
    <w:p w14:paraId="36F40F35" w14:textId="77777777" w:rsidR="009836CB" w:rsidRDefault="00000000">
      <w:pPr>
        <w:pStyle w:val="ListParagraph"/>
        <w:numPr>
          <w:ilvl w:val="0"/>
          <w:numId w:val="2"/>
        </w:numPr>
        <w:spacing w:after="90" w:line="280" w:lineRule="auto"/>
      </w:pPr>
      <w:r>
        <w:rPr>
          <w:color w:val="222222"/>
          <w:sz w:val="22"/>
          <w:szCs w:val="22"/>
        </w:rPr>
        <w:t>Downloadable PDF integrity reports per submission.</w:t>
      </w:r>
    </w:p>
    <w:p w14:paraId="4BF847C2" w14:textId="77777777" w:rsidR="009836CB" w:rsidRDefault="00000000">
      <w:pPr>
        <w:pStyle w:val="Heading2"/>
        <w:spacing w:before="260" w:after="120"/>
      </w:pPr>
      <w:r>
        <w:rPr>
          <w:b/>
          <w:bCs/>
          <w:color w:val="2E5395"/>
          <w:sz w:val="24"/>
          <w:szCs w:val="24"/>
        </w:rPr>
        <w:t>4.2 Out of Scope (Phase 1)</w:t>
      </w:r>
    </w:p>
    <w:p w14:paraId="0EE5BFB6" w14:textId="77777777" w:rsidR="009836CB" w:rsidRDefault="00000000">
      <w:pPr>
        <w:pStyle w:val="ListParagraph"/>
        <w:numPr>
          <w:ilvl w:val="0"/>
          <w:numId w:val="2"/>
        </w:numPr>
        <w:spacing w:after="90" w:line="280" w:lineRule="auto"/>
      </w:pPr>
      <w:r>
        <w:rPr>
          <w:color w:val="222222"/>
          <w:sz w:val="22"/>
          <w:szCs w:val="22"/>
        </w:rPr>
        <w:t>Handwriting analysis for scanned, hand-written assignments (listed under Future Scope).</w:t>
      </w:r>
    </w:p>
    <w:p w14:paraId="1EF8619E" w14:textId="77777777" w:rsidR="009836CB" w:rsidRDefault="00000000">
      <w:pPr>
        <w:pStyle w:val="ListParagraph"/>
        <w:numPr>
          <w:ilvl w:val="0"/>
          <w:numId w:val="2"/>
        </w:numPr>
        <w:spacing w:after="90" w:line="280" w:lineRule="auto"/>
      </w:pPr>
      <w:r>
        <w:rPr>
          <w:color w:val="222222"/>
          <w:sz w:val="22"/>
          <w:szCs w:val="22"/>
        </w:rPr>
        <w:t>Detection of AI-generated diagrams or images.</w:t>
      </w:r>
    </w:p>
    <w:p w14:paraId="39C59C3A" w14:textId="77777777" w:rsidR="009836CB" w:rsidRDefault="00000000">
      <w:pPr>
        <w:pStyle w:val="ListParagraph"/>
        <w:numPr>
          <w:ilvl w:val="0"/>
          <w:numId w:val="2"/>
        </w:numPr>
        <w:spacing w:after="90" w:line="280" w:lineRule="auto"/>
      </w:pPr>
      <w:r>
        <w:rPr>
          <w:color w:val="222222"/>
          <w:sz w:val="22"/>
          <w:szCs w:val="22"/>
        </w:rPr>
        <w:t>Cross-university, privacy-preserving plagiarism detection across institutions.</w:t>
      </w:r>
    </w:p>
    <w:p w14:paraId="6D072EE4" w14:textId="77777777" w:rsidR="009836CB" w:rsidRDefault="00000000">
      <w:pPr>
        <w:pStyle w:val="ListParagraph"/>
        <w:numPr>
          <w:ilvl w:val="0"/>
          <w:numId w:val="2"/>
        </w:numPr>
        <w:spacing w:after="90" w:line="280" w:lineRule="auto"/>
      </w:pPr>
      <w:r>
        <w:rPr>
          <w:color w:val="222222"/>
          <w:sz w:val="22"/>
          <w:szCs w:val="22"/>
        </w:rPr>
        <w:t xml:space="preserve">Fully autonomous grading — the platform assists faculty </w:t>
      </w:r>
      <w:proofErr w:type="gramStart"/>
      <w:r>
        <w:rPr>
          <w:color w:val="222222"/>
          <w:sz w:val="22"/>
          <w:szCs w:val="22"/>
        </w:rPr>
        <w:t>decision-making,</w:t>
      </w:r>
      <w:proofErr w:type="gramEnd"/>
      <w:r>
        <w:rPr>
          <w:color w:val="222222"/>
          <w:sz w:val="22"/>
          <w:szCs w:val="22"/>
        </w:rPr>
        <w:t xml:space="preserve"> it does not replace it.</w:t>
      </w:r>
    </w:p>
    <w:p w14:paraId="479EC827" w14:textId="77777777" w:rsidR="009836CB" w:rsidRDefault="00000000">
      <w:pPr>
        <w:pStyle w:val="Heading1"/>
        <w:pBdr>
          <w:bottom w:val="single" w:sz="6" w:space="4" w:color="2E5395"/>
        </w:pBdr>
        <w:spacing w:before="360" w:after="160"/>
      </w:pPr>
      <w:r>
        <w:rPr>
          <w:b/>
          <w:bCs/>
          <w:color w:val="1F3864"/>
          <w:sz w:val="30"/>
          <w:szCs w:val="30"/>
        </w:rPr>
        <w:lastRenderedPageBreak/>
        <w:t>5. Technologies Used</w:t>
      </w:r>
    </w:p>
    <w:p w14:paraId="31716C97" w14:textId="77777777" w:rsidR="009836CB" w:rsidRDefault="00000000">
      <w:pPr>
        <w:spacing w:after="160" w:line="300" w:lineRule="auto"/>
        <w:jc w:val="both"/>
      </w:pPr>
      <w:r>
        <w:rPr>
          <w:color w:val="222222"/>
          <w:sz w:val="22"/>
          <w:szCs w:val="22"/>
        </w:rPr>
        <w:t>The table below summarises the technology stack, organised by architectural layer:</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5"/>
        <w:gridCol w:w="6311"/>
      </w:tblGrid>
      <w:tr w:rsidR="009836CB" w14:paraId="55493FED" w14:textId="77777777">
        <w:tc>
          <w:tcPr>
            <w:tcW w:w="1500" w:type="pct"/>
            <w:shd w:val="clear" w:color="auto" w:fill="1F3864"/>
            <w:tcMar>
              <w:top w:w="100" w:type="dxa"/>
              <w:left w:w="120" w:type="dxa"/>
              <w:bottom w:w="100" w:type="dxa"/>
              <w:right w:w="120" w:type="dxa"/>
            </w:tcMar>
            <w:vAlign w:val="center"/>
          </w:tcPr>
          <w:p w14:paraId="675FB053" w14:textId="77777777" w:rsidR="009836CB" w:rsidRDefault="00000000">
            <w:r>
              <w:rPr>
                <w:b/>
                <w:bCs/>
                <w:color w:val="FFFFFF"/>
                <w:sz w:val="21"/>
                <w:szCs w:val="21"/>
              </w:rPr>
              <w:t>Layer</w:t>
            </w:r>
          </w:p>
        </w:tc>
        <w:tc>
          <w:tcPr>
            <w:tcW w:w="3500" w:type="pct"/>
            <w:shd w:val="clear" w:color="auto" w:fill="1F3864"/>
            <w:tcMar>
              <w:top w:w="100" w:type="dxa"/>
              <w:left w:w="120" w:type="dxa"/>
              <w:bottom w:w="100" w:type="dxa"/>
              <w:right w:w="120" w:type="dxa"/>
            </w:tcMar>
            <w:vAlign w:val="center"/>
          </w:tcPr>
          <w:p w14:paraId="5CFC4754" w14:textId="77777777" w:rsidR="009836CB" w:rsidRDefault="00000000">
            <w:r>
              <w:rPr>
                <w:b/>
                <w:bCs/>
                <w:color w:val="FFFFFF"/>
                <w:sz w:val="21"/>
                <w:szCs w:val="21"/>
              </w:rPr>
              <w:t>Technologies</w:t>
            </w:r>
          </w:p>
        </w:tc>
      </w:tr>
      <w:tr w:rsidR="009836CB" w14:paraId="302A98E6" w14:textId="77777777">
        <w:tc>
          <w:tcPr>
            <w:tcW w:w="1500" w:type="pct"/>
            <w:shd w:val="clear" w:color="auto" w:fill="F5F8FC"/>
            <w:tcMar>
              <w:top w:w="100" w:type="dxa"/>
              <w:left w:w="120" w:type="dxa"/>
              <w:bottom w:w="100" w:type="dxa"/>
              <w:right w:w="120" w:type="dxa"/>
            </w:tcMar>
            <w:vAlign w:val="center"/>
          </w:tcPr>
          <w:p w14:paraId="76263BD7" w14:textId="77777777" w:rsidR="009836CB" w:rsidRDefault="00000000">
            <w:r>
              <w:rPr>
                <w:b/>
                <w:bCs/>
                <w:color w:val="222222"/>
                <w:sz w:val="21"/>
                <w:szCs w:val="21"/>
              </w:rPr>
              <w:t>Frontend</w:t>
            </w:r>
          </w:p>
        </w:tc>
        <w:tc>
          <w:tcPr>
            <w:tcW w:w="3500" w:type="pct"/>
            <w:shd w:val="clear" w:color="auto" w:fill="F5F8FC"/>
            <w:tcMar>
              <w:top w:w="100" w:type="dxa"/>
              <w:left w:w="120" w:type="dxa"/>
              <w:bottom w:w="100" w:type="dxa"/>
              <w:right w:w="120" w:type="dxa"/>
            </w:tcMar>
            <w:vAlign w:val="center"/>
          </w:tcPr>
          <w:p w14:paraId="33D291A8" w14:textId="77777777" w:rsidR="009836CB" w:rsidRDefault="00000000">
            <w:r>
              <w:rPr>
                <w:color w:val="222222"/>
                <w:sz w:val="21"/>
                <w:szCs w:val="21"/>
              </w:rPr>
              <w:t>React (Student / Faculty / Admin web dashboard)</w:t>
            </w:r>
          </w:p>
        </w:tc>
      </w:tr>
      <w:tr w:rsidR="009836CB" w14:paraId="35052E09" w14:textId="77777777">
        <w:tc>
          <w:tcPr>
            <w:tcW w:w="1500" w:type="pct"/>
            <w:shd w:val="clear" w:color="auto" w:fill="F5F8FC"/>
            <w:tcMar>
              <w:top w:w="100" w:type="dxa"/>
              <w:left w:w="120" w:type="dxa"/>
              <w:bottom w:w="100" w:type="dxa"/>
              <w:right w:w="120" w:type="dxa"/>
            </w:tcMar>
            <w:vAlign w:val="center"/>
          </w:tcPr>
          <w:p w14:paraId="6D38723D" w14:textId="77777777" w:rsidR="009836CB" w:rsidRDefault="00000000">
            <w:r>
              <w:rPr>
                <w:b/>
                <w:bCs/>
                <w:color w:val="222222"/>
                <w:sz w:val="21"/>
                <w:szCs w:val="21"/>
              </w:rPr>
              <w:t>API Gateway</w:t>
            </w:r>
          </w:p>
        </w:tc>
        <w:tc>
          <w:tcPr>
            <w:tcW w:w="3500" w:type="pct"/>
            <w:shd w:val="clear" w:color="auto" w:fill="F5F8FC"/>
            <w:tcMar>
              <w:top w:w="100" w:type="dxa"/>
              <w:left w:w="120" w:type="dxa"/>
              <w:bottom w:w="100" w:type="dxa"/>
              <w:right w:w="120" w:type="dxa"/>
            </w:tcMar>
            <w:vAlign w:val="center"/>
          </w:tcPr>
          <w:p w14:paraId="29838154" w14:textId="77777777" w:rsidR="009836CB" w:rsidRDefault="00000000">
            <w:r>
              <w:rPr>
                <w:color w:val="222222"/>
                <w:sz w:val="21"/>
                <w:szCs w:val="21"/>
              </w:rPr>
              <w:t>Spring Cloud Gateway — single entry point, routing, and auth filtering</w:t>
            </w:r>
          </w:p>
        </w:tc>
      </w:tr>
      <w:tr w:rsidR="009836CB" w14:paraId="271CE19F" w14:textId="77777777">
        <w:tc>
          <w:tcPr>
            <w:tcW w:w="1500" w:type="pct"/>
            <w:shd w:val="clear" w:color="auto" w:fill="F5F8FC"/>
            <w:tcMar>
              <w:top w:w="100" w:type="dxa"/>
              <w:left w:w="120" w:type="dxa"/>
              <w:bottom w:w="100" w:type="dxa"/>
              <w:right w:w="120" w:type="dxa"/>
            </w:tcMar>
            <w:vAlign w:val="center"/>
          </w:tcPr>
          <w:p w14:paraId="22C3E3CA" w14:textId="77777777" w:rsidR="009836CB" w:rsidRDefault="00000000">
            <w:r>
              <w:rPr>
                <w:b/>
                <w:bCs/>
                <w:color w:val="222222"/>
                <w:sz w:val="21"/>
                <w:szCs w:val="21"/>
              </w:rPr>
              <w:t>Backend Microservices</w:t>
            </w:r>
          </w:p>
        </w:tc>
        <w:tc>
          <w:tcPr>
            <w:tcW w:w="3500" w:type="pct"/>
            <w:shd w:val="clear" w:color="auto" w:fill="F5F8FC"/>
            <w:tcMar>
              <w:top w:w="100" w:type="dxa"/>
              <w:left w:w="120" w:type="dxa"/>
              <w:bottom w:w="100" w:type="dxa"/>
              <w:right w:w="120" w:type="dxa"/>
            </w:tcMar>
            <w:vAlign w:val="center"/>
          </w:tcPr>
          <w:p w14:paraId="50069206" w14:textId="77777777" w:rsidR="009836CB" w:rsidRDefault="00000000">
            <w:r>
              <w:rPr>
                <w:color w:val="222222"/>
                <w:sz w:val="21"/>
                <w:szCs w:val="21"/>
              </w:rPr>
              <w:t>Spring Boot (Auth, Submission, Faculty, Notification, Report Services)</w:t>
            </w:r>
          </w:p>
        </w:tc>
      </w:tr>
      <w:tr w:rsidR="009836CB" w14:paraId="6496C591" w14:textId="77777777">
        <w:tc>
          <w:tcPr>
            <w:tcW w:w="1500" w:type="pct"/>
            <w:shd w:val="clear" w:color="auto" w:fill="F5F8FC"/>
            <w:tcMar>
              <w:top w:w="100" w:type="dxa"/>
              <w:left w:w="120" w:type="dxa"/>
              <w:bottom w:w="100" w:type="dxa"/>
              <w:right w:w="120" w:type="dxa"/>
            </w:tcMar>
            <w:vAlign w:val="center"/>
          </w:tcPr>
          <w:p w14:paraId="1A086AC1" w14:textId="77777777" w:rsidR="009836CB" w:rsidRDefault="00000000">
            <w:r>
              <w:rPr>
                <w:b/>
                <w:bCs/>
                <w:color w:val="222222"/>
                <w:sz w:val="21"/>
                <w:szCs w:val="21"/>
              </w:rPr>
              <w:t>AI Analysis Service</w:t>
            </w:r>
          </w:p>
        </w:tc>
        <w:tc>
          <w:tcPr>
            <w:tcW w:w="3500" w:type="pct"/>
            <w:shd w:val="clear" w:color="auto" w:fill="F5F8FC"/>
            <w:tcMar>
              <w:top w:w="100" w:type="dxa"/>
              <w:left w:w="120" w:type="dxa"/>
              <w:bottom w:w="100" w:type="dxa"/>
              <w:right w:w="120" w:type="dxa"/>
            </w:tcMar>
            <w:vAlign w:val="center"/>
          </w:tcPr>
          <w:p w14:paraId="4FF4275C" w14:textId="77777777" w:rsidR="009836CB" w:rsidRDefault="00000000">
            <w:r>
              <w:rPr>
                <w:color w:val="222222"/>
                <w:sz w:val="21"/>
                <w:szCs w:val="21"/>
              </w:rPr>
              <w:t xml:space="preserve">Python, </w:t>
            </w:r>
            <w:proofErr w:type="spellStart"/>
            <w:r>
              <w:rPr>
                <w:color w:val="222222"/>
                <w:sz w:val="21"/>
                <w:szCs w:val="21"/>
              </w:rPr>
              <w:t>FastAPI</w:t>
            </w:r>
            <w:proofErr w:type="spellEnd"/>
            <w:r>
              <w:rPr>
                <w:color w:val="222222"/>
                <w:sz w:val="21"/>
                <w:szCs w:val="21"/>
              </w:rPr>
              <w:t xml:space="preserve"> — hosts the ML/NLP pipeline as an independent service</w:t>
            </w:r>
          </w:p>
        </w:tc>
      </w:tr>
      <w:tr w:rsidR="009836CB" w14:paraId="44E84363" w14:textId="77777777">
        <w:tc>
          <w:tcPr>
            <w:tcW w:w="1500" w:type="pct"/>
            <w:shd w:val="clear" w:color="auto" w:fill="F5F8FC"/>
            <w:tcMar>
              <w:top w:w="100" w:type="dxa"/>
              <w:left w:w="120" w:type="dxa"/>
              <w:bottom w:w="100" w:type="dxa"/>
              <w:right w:w="120" w:type="dxa"/>
            </w:tcMar>
            <w:vAlign w:val="center"/>
          </w:tcPr>
          <w:p w14:paraId="07264104" w14:textId="77777777" w:rsidR="009836CB" w:rsidRDefault="00000000">
            <w:r>
              <w:rPr>
                <w:b/>
                <w:bCs/>
                <w:color w:val="222222"/>
                <w:sz w:val="21"/>
                <w:szCs w:val="21"/>
              </w:rPr>
              <w:t>AI / NLP Models</w:t>
            </w:r>
          </w:p>
        </w:tc>
        <w:tc>
          <w:tcPr>
            <w:tcW w:w="3500" w:type="pct"/>
            <w:shd w:val="clear" w:color="auto" w:fill="F5F8FC"/>
            <w:tcMar>
              <w:top w:w="100" w:type="dxa"/>
              <w:left w:w="120" w:type="dxa"/>
              <w:bottom w:w="100" w:type="dxa"/>
              <w:right w:w="120" w:type="dxa"/>
            </w:tcMar>
            <w:vAlign w:val="center"/>
          </w:tcPr>
          <w:p w14:paraId="6198FB29" w14:textId="77777777" w:rsidR="009836CB" w:rsidRDefault="00000000">
            <w:r>
              <w:rPr>
                <w:color w:val="222222"/>
                <w:sz w:val="21"/>
                <w:szCs w:val="21"/>
              </w:rPr>
              <w:t>Sentence-Transformers (semantic similarity), Cosine Similarity, Stylometric analysis</w:t>
            </w:r>
          </w:p>
        </w:tc>
      </w:tr>
      <w:tr w:rsidR="009836CB" w14:paraId="4D8B8ADF" w14:textId="77777777">
        <w:tc>
          <w:tcPr>
            <w:tcW w:w="1500" w:type="pct"/>
            <w:shd w:val="clear" w:color="auto" w:fill="F5F8FC"/>
            <w:tcMar>
              <w:top w:w="100" w:type="dxa"/>
              <w:left w:w="120" w:type="dxa"/>
              <w:bottom w:w="100" w:type="dxa"/>
              <w:right w:w="120" w:type="dxa"/>
            </w:tcMar>
            <w:vAlign w:val="center"/>
          </w:tcPr>
          <w:p w14:paraId="1D6E1199" w14:textId="77777777" w:rsidR="009836CB" w:rsidRDefault="00000000">
            <w:r>
              <w:rPr>
                <w:b/>
                <w:bCs/>
                <w:color w:val="222222"/>
                <w:sz w:val="21"/>
                <w:szCs w:val="21"/>
              </w:rPr>
              <w:t>Code Analysis</w:t>
            </w:r>
          </w:p>
        </w:tc>
        <w:tc>
          <w:tcPr>
            <w:tcW w:w="3500" w:type="pct"/>
            <w:shd w:val="clear" w:color="auto" w:fill="F5F8FC"/>
            <w:tcMar>
              <w:top w:w="100" w:type="dxa"/>
              <w:left w:w="120" w:type="dxa"/>
              <w:bottom w:w="100" w:type="dxa"/>
              <w:right w:w="120" w:type="dxa"/>
            </w:tcMar>
            <w:vAlign w:val="center"/>
          </w:tcPr>
          <w:p w14:paraId="22A5CBE3" w14:textId="77777777" w:rsidR="009836CB" w:rsidRDefault="00000000">
            <w:r>
              <w:rPr>
                <w:color w:val="222222"/>
                <w:sz w:val="21"/>
                <w:szCs w:val="21"/>
              </w:rPr>
              <w:t xml:space="preserve">Tree-sitter (AST parsing), </w:t>
            </w:r>
            <w:proofErr w:type="spellStart"/>
            <w:r>
              <w:rPr>
                <w:color w:val="222222"/>
                <w:sz w:val="21"/>
                <w:szCs w:val="21"/>
              </w:rPr>
              <w:t>CodeBERT</w:t>
            </w:r>
            <w:proofErr w:type="spellEnd"/>
            <w:r>
              <w:rPr>
                <w:color w:val="222222"/>
                <w:sz w:val="21"/>
                <w:szCs w:val="21"/>
              </w:rPr>
              <w:t xml:space="preserve"> embeddings, Token similarity, </w:t>
            </w:r>
            <w:proofErr w:type="spellStart"/>
            <w:r>
              <w:rPr>
                <w:color w:val="222222"/>
                <w:sz w:val="21"/>
                <w:szCs w:val="21"/>
              </w:rPr>
              <w:t>Levenshtein</w:t>
            </w:r>
            <w:proofErr w:type="spellEnd"/>
            <w:r>
              <w:rPr>
                <w:color w:val="222222"/>
                <w:sz w:val="21"/>
                <w:szCs w:val="21"/>
              </w:rPr>
              <w:t xml:space="preserve"> distance, MOSS-style fingerprinting</w:t>
            </w:r>
          </w:p>
        </w:tc>
      </w:tr>
      <w:tr w:rsidR="009836CB" w14:paraId="10C12C52" w14:textId="77777777">
        <w:tc>
          <w:tcPr>
            <w:tcW w:w="1500" w:type="pct"/>
            <w:shd w:val="clear" w:color="auto" w:fill="F5F8FC"/>
            <w:tcMar>
              <w:top w:w="100" w:type="dxa"/>
              <w:left w:w="120" w:type="dxa"/>
              <w:bottom w:w="100" w:type="dxa"/>
              <w:right w:w="120" w:type="dxa"/>
            </w:tcMar>
            <w:vAlign w:val="center"/>
          </w:tcPr>
          <w:p w14:paraId="7D5B6AD2" w14:textId="77777777" w:rsidR="009836CB" w:rsidRDefault="00000000">
            <w:r>
              <w:rPr>
                <w:b/>
                <w:bCs/>
                <w:color w:val="222222"/>
                <w:sz w:val="21"/>
                <w:szCs w:val="21"/>
              </w:rPr>
              <w:t>AI-Text Detection</w:t>
            </w:r>
          </w:p>
        </w:tc>
        <w:tc>
          <w:tcPr>
            <w:tcW w:w="3500" w:type="pct"/>
            <w:shd w:val="clear" w:color="auto" w:fill="F5F8FC"/>
            <w:tcMar>
              <w:top w:w="100" w:type="dxa"/>
              <w:left w:w="120" w:type="dxa"/>
              <w:bottom w:w="100" w:type="dxa"/>
              <w:right w:w="120" w:type="dxa"/>
            </w:tcMar>
            <w:vAlign w:val="center"/>
          </w:tcPr>
          <w:p w14:paraId="371DE404" w14:textId="77777777" w:rsidR="009836CB" w:rsidRDefault="00000000">
            <w:r>
              <w:rPr>
                <w:color w:val="222222"/>
                <w:sz w:val="21"/>
                <w:szCs w:val="21"/>
              </w:rPr>
              <w:t>Perplexity &amp; burstiness scoring, stylometric consistency, optional LLM classifier</w:t>
            </w:r>
          </w:p>
        </w:tc>
      </w:tr>
      <w:tr w:rsidR="009836CB" w14:paraId="4D266F12" w14:textId="77777777">
        <w:tc>
          <w:tcPr>
            <w:tcW w:w="1500" w:type="pct"/>
            <w:shd w:val="clear" w:color="auto" w:fill="F5F8FC"/>
            <w:tcMar>
              <w:top w:w="100" w:type="dxa"/>
              <w:left w:w="120" w:type="dxa"/>
              <w:bottom w:w="100" w:type="dxa"/>
              <w:right w:w="120" w:type="dxa"/>
            </w:tcMar>
            <w:vAlign w:val="center"/>
          </w:tcPr>
          <w:p w14:paraId="5DCE0879" w14:textId="77777777" w:rsidR="009836CB" w:rsidRDefault="00000000">
            <w:r>
              <w:rPr>
                <w:b/>
                <w:bCs/>
                <w:color w:val="222222"/>
                <w:sz w:val="21"/>
                <w:szCs w:val="21"/>
              </w:rPr>
              <w:t>Relational Database</w:t>
            </w:r>
          </w:p>
        </w:tc>
        <w:tc>
          <w:tcPr>
            <w:tcW w:w="3500" w:type="pct"/>
            <w:shd w:val="clear" w:color="auto" w:fill="F5F8FC"/>
            <w:tcMar>
              <w:top w:w="100" w:type="dxa"/>
              <w:left w:w="120" w:type="dxa"/>
              <w:bottom w:w="100" w:type="dxa"/>
              <w:right w:w="120" w:type="dxa"/>
            </w:tcMar>
            <w:vAlign w:val="center"/>
          </w:tcPr>
          <w:p w14:paraId="4427FD1F" w14:textId="77777777" w:rsidR="009836CB" w:rsidRDefault="00000000">
            <w:r>
              <w:rPr>
                <w:color w:val="222222"/>
                <w:sz w:val="21"/>
                <w:szCs w:val="21"/>
              </w:rPr>
              <w:t>PostgreSQL (Authentication Service — user accounts, roles)</w:t>
            </w:r>
          </w:p>
        </w:tc>
      </w:tr>
      <w:tr w:rsidR="009836CB" w14:paraId="1168B6F8" w14:textId="77777777">
        <w:tc>
          <w:tcPr>
            <w:tcW w:w="1500" w:type="pct"/>
            <w:shd w:val="clear" w:color="auto" w:fill="F5F8FC"/>
            <w:tcMar>
              <w:top w:w="100" w:type="dxa"/>
              <w:left w:w="120" w:type="dxa"/>
              <w:bottom w:w="100" w:type="dxa"/>
              <w:right w:w="120" w:type="dxa"/>
            </w:tcMar>
            <w:vAlign w:val="center"/>
          </w:tcPr>
          <w:p w14:paraId="567FD317" w14:textId="77777777" w:rsidR="009836CB" w:rsidRDefault="00000000">
            <w:r>
              <w:rPr>
                <w:b/>
                <w:bCs/>
                <w:color w:val="222222"/>
                <w:sz w:val="21"/>
                <w:szCs w:val="21"/>
              </w:rPr>
              <w:t>Document Database</w:t>
            </w:r>
          </w:p>
        </w:tc>
        <w:tc>
          <w:tcPr>
            <w:tcW w:w="3500" w:type="pct"/>
            <w:shd w:val="clear" w:color="auto" w:fill="F5F8FC"/>
            <w:tcMar>
              <w:top w:w="100" w:type="dxa"/>
              <w:left w:w="120" w:type="dxa"/>
              <w:bottom w:w="100" w:type="dxa"/>
              <w:right w:w="120" w:type="dxa"/>
            </w:tcMar>
            <w:vAlign w:val="center"/>
          </w:tcPr>
          <w:p w14:paraId="00D1F320" w14:textId="77777777" w:rsidR="009836CB" w:rsidRDefault="00000000">
            <w:r>
              <w:rPr>
                <w:color w:val="222222"/>
                <w:sz w:val="21"/>
                <w:szCs w:val="21"/>
              </w:rPr>
              <w:t>MongoDB (Submission Service — assignment metadata, files)</w:t>
            </w:r>
          </w:p>
        </w:tc>
      </w:tr>
      <w:tr w:rsidR="009836CB" w14:paraId="6EED5D68" w14:textId="77777777">
        <w:tc>
          <w:tcPr>
            <w:tcW w:w="1500" w:type="pct"/>
            <w:shd w:val="clear" w:color="auto" w:fill="F5F8FC"/>
            <w:tcMar>
              <w:top w:w="100" w:type="dxa"/>
              <w:left w:w="120" w:type="dxa"/>
              <w:bottom w:w="100" w:type="dxa"/>
              <w:right w:w="120" w:type="dxa"/>
            </w:tcMar>
            <w:vAlign w:val="center"/>
          </w:tcPr>
          <w:p w14:paraId="793FFF3D" w14:textId="77777777" w:rsidR="009836CB" w:rsidRDefault="00000000">
            <w:r>
              <w:rPr>
                <w:b/>
                <w:bCs/>
                <w:color w:val="222222"/>
                <w:sz w:val="21"/>
                <w:szCs w:val="21"/>
              </w:rPr>
              <w:t>Messaging / Event Bus</w:t>
            </w:r>
          </w:p>
        </w:tc>
        <w:tc>
          <w:tcPr>
            <w:tcW w:w="3500" w:type="pct"/>
            <w:shd w:val="clear" w:color="auto" w:fill="F5F8FC"/>
            <w:tcMar>
              <w:top w:w="100" w:type="dxa"/>
              <w:left w:w="120" w:type="dxa"/>
              <w:bottom w:w="100" w:type="dxa"/>
              <w:right w:w="120" w:type="dxa"/>
            </w:tcMar>
            <w:vAlign w:val="center"/>
          </w:tcPr>
          <w:p w14:paraId="272FC6E1" w14:textId="77777777" w:rsidR="009836CB" w:rsidRDefault="00000000">
            <w:r>
              <w:rPr>
                <w:color w:val="222222"/>
                <w:sz w:val="21"/>
                <w:szCs w:val="21"/>
              </w:rPr>
              <w:t>Apache Kafka — asynchronous, event-driven communication between services</w:t>
            </w:r>
          </w:p>
        </w:tc>
      </w:tr>
      <w:tr w:rsidR="009836CB" w14:paraId="438F3CC5" w14:textId="77777777">
        <w:tc>
          <w:tcPr>
            <w:tcW w:w="1500" w:type="pct"/>
            <w:shd w:val="clear" w:color="auto" w:fill="F5F8FC"/>
            <w:tcMar>
              <w:top w:w="100" w:type="dxa"/>
              <w:left w:w="120" w:type="dxa"/>
              <w:bottom w:w="100" w:type="dxa"/>
              <w:right w:w="120" w:type="dxa"/>
            </w:tcMar>
            <w:vAlign w:val="center"/>
          </w:tcPr>
          <w:p w14:paraId="23255D6A" w14:textId="77777777" w:rsidR="009836CB" w:rsidRDefault="00000000">
            <w:r>
              <w:rPr>
                <w:b/>
                <w:bCs/>
                <w:color w:val="222222"/>
                <w:sz w:val="21"/>
                <w:szCs w:val="21"/>
              </w:rPr>
              <w:t>Caching</w:t>
            </w:r>
          </w:p>
        </w:tc>
        <w:tc>
          <w:tcPr>
            <w:tcW w:w="3500" w:type="pct"/>
            <w:shd w:val="clear" w:color="auto" w:fill="F5F8FC"/>
            <w:tcMar>
              <w:top w:w="100" w:type="dxa"/>
              <w:left w:w="120" w:type="dxa"/>
              <w:bottom w:w="100" w:type="dxa"/>
              <w:right w:w="120" w:type="dxa"/>
            </w:tcMar>
            <w:vAlign w:val="center"/>
          </w:tcPr>
          <w:p w14:paraId="6B7D5E15" w14:textId="77777777" w:rsidR="009836CB" w:rsidRDefault="00000000">
            <w:r>
              <w:rPr>
                <w:color w:val="222222"/>
                <w:sz w:val="21"/>
                <w:szCs w:val="21"/>
              </w:rPr>
              <w:t>Redis — caches generated reports and frequently accessed dashboard data</w:t>
            </w:r>
          </w:p>
        </w:tc>
      </w:tr>
      <w:tr w:rsidR="009836CB" w14:paraId="5D68F9C9" w14:textId="77777777">
        <w:tc>
          <w:tcPr>
            <w:tcW w:w="1500" w:type="pct"/>
            <w:shd w:val="clear" w:color="auto" w:fill="F5F8FC"/>
            <w:tcMar>
              <w:top w:w="100" w:type="dxa"/>
              <w:left w:w="120" w:type="dxa"/>
              <w:bottom w:w="100" w:type="dxa"/>
              <w:right w:w="120" w:type="dxa"/>
            </w:tcMar>
            <w:vAlign w:val="center"/>
          </w:tcPr>
          <w:p w14:paraId="691B3631" w14:textId="77777777" w:rsidR="009836CB" w:rsidRDefault="00000000">
            <w:r>
              <w:rPr>
                <w:b/>
                <w:bCs/>
                <w:color w:val="222222"/>
                <w:sz w:val="21"/>
                <w:szCs w:val="21"/>
              </w:rPr>
              <w:t>Service Discovery</w:t>
            </w:r>
          </w:p>
        </w:tc>
        <w:tc>
          <w:tcPr>
            <w:tcW w:w="3500" w:type="pct"/>
            <w:shd w:val="clear" w:color="auto" w:fill="F5F8FC"/>
            <w:tcMar>
              <w:top w:w="100" w:type="dxa"/>
              <w:left w:w="120" w:type="dxa"/>
              <w:bottom w:w="100" w:type="dxa"/>
              <w:right w:w="120" w:type="dxa"/>
            </w:tcMar>
            <w:vAlign w:val="center"/>
          </w:tcPr>
          <w:p w14:paraId="53FAF3D4" w14:textId="77777777" w:rsidR="009836CB" w:rsidRDefault="00000000">
            <w:r>
              <w:rPr>
                <w:color w:val="222222"/>
                <w:sz w:val="21"/>
                <w:szCs w:val="21"/>
              </w:rPr>
              <w:t>Netflix Eureka</w:t>
            </w:r>
          </w:p>
        </w:tc>
      </w:tr>
      <w:tr w:rsidR="009836CB" w14:paraId="419926D0" w14:textId="77777777">
        <w:tc>
          <w:tcPr>
            <w:tcW w:w="1500" w:type="pct"/>
            <w:shd w:val="clear" w:color="auto" w:fill="F5F8FC"/>
            <w:tcMar>
              <w:top w:w="100" w:type="dxa"/>
              <w:left w:w="120" w:type="dxa"/>
              <w:bottom w:w="100" w:type="dxa"/>
              <w:right w:w="120" w:type="dxa"/>
            </w:tcMar>
            <w:vAlign w:val="center"/>
          </w:tcPr>
          <w:p w14:paraId="1F4371D5" w14:textId="77777777" w:rsidR="009836CB" w:rsidRDefault="00000000">
            <w:r>
              <w:rPr>
                <w:b/>
                <w:bCs/>
                <w:color w:val="222222"/>
                <w:sz w:val="21"/>
                <w:szCs w:val="21"/>
              </w:rPr>
              <w:t>Centralized Configuration</w:t>
            </w:r>
          </w:p>
        </w:tc>
        <w:tc>
          <w:tcPr>
            <w:tcW w:w="3500" w:type="pct"/>
            <w:shd w:val="clear" w:color="auto" w:fill="F5F8FC"/>
            <w:tcMar>
              <w:top w:w="100" w:type="dxa"/>
              <w:left w:w="120" w:type="dxa"/>
              <w:bottom w:w="100" w:type="dxa"/>
              <w:right w:w="120" w:type="dxa"/>
            </w:tcMar>
            <w:vAlign w:val="center"/>
          </w:tcPr>
          <w:p w14:paraId="7972BBBC" w14:textId="77777777" w:rsidR="009836CB" w:rsidRDefault="00000000">
            <w:r>
              <w:rPr>
                <w:color w:val="222222"/>
                <w:sz w:val="21"/>
                <w:szCs w:val="21"/>
              </w:rPr>
              <w:t>Spring Cloud Config Server</w:t>
            </w:r>
          </w:p>
        </w:tc>
      </w:tr>
      <w:tr w:rsidR="009836CB" w14:paraId="34B6E780" w14:textId="77777777">
        <w:tc>
          <w:tcPr>
            <w:tcW w:w="1500" w:type="pct"/>
            <w:shd w:val="clear" w:color="auto" w:fill="F5F8FC"/>
            <w:tcMar>
              <w:top w:w="100" w:type="dxa"/>
              <w:left w:w="120" w:type="dxa"/>
              <w:bottom w:w="100" w:type="dxa"/>
              <w:right w:w="120" w:type="dxa"/>
            </w:tcMar>
            <w:vAlign w:val="center"/>
          </w:tcPr>
          <w:p w14:paraId="2B72DBCC" w14:textId="77777777" w:rsidR="009836CB" w:rsidRDefault="00000000">
            <w:r>
              <w:rPr>
                <w:b/>
                <w:bCs/>
                <w:color w:val="222222"/>
                <w:sz w:val="21"/>
                <w:szCs w:val="21"/>
              </w:rPr>
              <w:t>Fault Tolerance</w:t>
            </w:r>
          </w:p>
        </w:tc>
        <w:tc>
          <w:tcPr>
            <w:tcW w:w="3500" w:type="pct"/>
            <w:shd w:val="clear" w:color="auto" w:fill="F5F8FC"/>
            <w:tcMar>
              <w:top w:w="100" w:type="dxa"/>
              <w:left w:w="120" w:type="dxa"/>
              <w:bottom w:w="100" w:type="dxa"/>
              <w:right w:w="120" w:type="dxa"/>
            </w:tcMar>
            <w:vAlign w:val="center"/>
          </w:tcPr>
          <w:p w14:paraId="7066D99A" w14:textId="77777777" w:rsidR="009836CB" w:rsidRDefault="00000000">
            <w:r>
              <w:rPr>
                <w:color w:val="222222"/>
                <w:sz w:val="21"/>
                <w:szCs w:val="21"/>
              </w:rPr>
              <w:t>Resilience4j Circuit Breaker — keeps submission flow working if AI service is down</w:t>
            </w:r>
          </w:p>
        </w:tc>
      </w:tr>
      <w:tr w:rsidR="009836CB" w14:paraId="5BEEFEC5" w14:textId="77777777">
        <w:tc>
          <w:tcPr>
            <w:tcW w:w="1500" w:type="pct"/>
            <w:shd w:val="clear" w:color="auto" w:fill="F5F8FC"/>
            <w:tcMar>
              <w:top w:w="100" w:type="dxa"/>
              <w:left w:w="120" w:type="dxa"/>
              <w:bottom w:w="100" w:type="dxa"/>
              <w:right w:w="120" w:type="dxa"/>
            </w:tcMar>
            <w:vAlign w:val="center"/>
          </w:tcPr>
          <w:p w14:paraId="67DBEB65" w14:textId="77777777" w:rsidR="009836CB" w:rsidRDefault="00000000">
            <w:r>
              <w:rPr>
                <w:b/>
                <w:bCs/>
                <w:color w:val="222222"/>
                <w:sz w:val="21"/>
                <w:szCs w:val="21"/>
              </w:rPr>
              <w:t>Containerization</w:t>
            </w:r>
          </w:p>
        </w:tc>
        <w:tc>
          <w:tcPr>
            <w:tcW w:w="3500" w:type="pct"/>
            <w:shd w:val="clear" w:color="auto" w:fill="F5F8FC"/>
            <w:tcMar>
              <w:top w:w="100" w:type="dxa"/>
              <w:left w:w="120" w:type="dxa"/>
              <w:bottom w:w="100" w:type="dxa"/>
              <w:right w:w="120" w:type="dxa"/>
            </w:tcMar>
            <w:vAlign w:val="center"/>
          </w:tcPr>
          <w:p w14:paraId="7AE26FFC" w14:textId="77777777" w:rsidR="009836CB" w:rsidRDefault="00000000">
            <w:r>
              <w:rPr>
                <w:color w:val="222222"/>
                <w:sz w:val="21"/>
                <w:szCs w:val="21"/>
              </w:rPr>
              <w:t>Docker (and Docker Compose for local orchestration)</w:t>
            </w:r>
          </w:p>
        </w:tc>
      </w:tr>
      <w:tr w:rsidR="009836CB" w14:paraId="7AC0D681" w14:textId="77777777">
        <w:tc>
          <w:tcPr>
            <w:tcW w:w="1500" w:type="pct"/>
            <w:shd w:val="clear" w:color="auto" w:fill="F5F8FC"/>
            <w:tcMar>
              <w:top w:w="100" w:type="dxa"/>
              <w:left w:w="120" w:type="dxa"/>
              <w:bottom w:w="100" w:type="dxa"/>
              <w:right w:w="120" w:type="dxa"/>
            </w:tcMar>
            <w:vAlign w:val="center"/>
          </w:tcPr>
          <w:p w14:paraId="7AB0BEE1" w14:textId="77777777" w:rsidR="009836CB" w:rsidRDefault="00000000">
            <w:r>
              <w:rPr>
                <w:b/>
                <w:bCs/>
                <w:color w:val="222222"/>
                <w:sz w:val="21"/>
                <w:szCs w:val="21"/>
              </w:rPr>
              <w:t>Version Control</w:t>
            </w:r>
          </w:p>
        </w:tc>
        <w:tc>
          <w:tcPr>
            <w:tcW w:w="3500" w:type="pct"/>
            <w:shd w:val="clear" w:color="auto" w:fill="F5F8FC"/>
            <w:tcMar>
              <w:top w:w="100" w:type="dxa"/>
              <w:left w:w="120" w:type="dxa"/>
              <w:bottom w:w="100" w:type="dxa"/>
              <w:right w:w="120" w:type="dxa"/>
            </w:tcMar>
            <w:vAlign w:val="center"/>
          </w:tcPr>
          <w:p w14:paraId="6997AC7B" w14:textId="77777777" w:rsidR="009836CB" w:rsidRDefault="00000000">
            <w:r>
              <w:rPr>
                <w:color w:val="222222"/>
                <w:sz w:val="21"/>
                <w:szCs w:val="21"/>
              </w:rPr>
              <w:t>Git &amp; GitHub</w:t>
            </w:r>
          </w:p>
        </w:tc>
      </w:tr>
    </w:tbl>
    <w:p w14:paraId="52F1FB50" w14:textId="77777777" w:rsidR="009836CB" w:rsidRDefault="009836CB">
      <w:pPr>
        <w:spacing w:before="200"/>
      </w:pPr>
    </w:p>
    <w:p w14:paraId="28430DFF" w14:textId="77777777" w:rsidR="009836CB" w:rsidRDefault="00000000">
      <w:pPr>
        <w:spacing w:after="160" w:line="300" w:lineRule="auto"/>
        <w:jc w:val="both"/>
      </w:pPr>
      <w:r>
        <w:rPr>
          <w:color w:val="222222"/>
          <w:sz w:val="22"/>
          <w:szCs w:val="22"/>
        </w:rPr>
        <w:t>All tools above are free and open-source (or available on generous free tiers), which keeps the project fully buildable without licensing cost while still reflecting an industry-realistic microservices stack.</w:t>
      </w:r>
    </w:p>
    <w:p w14:paraId="2F7CB2A0" w14:textId="77777777" w:rsidR="009836CB" w:rsidRDefault="00000000" w:rsidP="00A060AA">
      <w:pPr>
        <w:pStyle w:val="Heading1"/>
        <w:pBdr>
          <w:bottom w:val="single" w:sz="6" w:space="5" w:color="2E5395"/>
        </w:pBdr>
        <w:spacing w:before="360" w:after="160"/>
      </w:pPr>
      <w:r>
        <w:rPr>
          <w:b/>
          <w:bCs/>
          <w:color w:val="1F3864"/>
          <w:sz w:val="30"/>
          <w:szCs w:val="30"/>
        </w:rPr>
        <w:t>6. Expected Outcome</w:t>
      </w:r>
    </w:p>
    <w:p w14:paraId="5DDD666F" w14:textId="77777777" w:rsidR="009836CB" w:rsidRDefault="00000000">
      <w:pPr>
        <w:spacing w:after="160" w:line="300" w:lineRule="auto"/>
        <w:jc w:val="both"/>
      </w:pPr>
      <w:r>
        <w:rPr>
          <w:color w:val="222222"/>
          <w:sz w:val="22"/>
          <w:szCs w:val="22"/>
        </w:rPr>
        <w:t xml:space="preserve">By the end of the project, </w:t>
      </w:r>
      <w:proofErr w:type="spellStart"/>
      <w:r>
        <w:rPr>
          <w:color w:val="222222"/>
          <w:sz w:val="22"/>
          <w:szCs w:val="22"/>
        </w:rPr>
        <w:t>IntegrityAI</w:t>
      </w:r>
      <w:proofErr w:type="spellEnd"/>
      <w:r>
        <w:rPr>
          <w:color w:val="222222"/>
          <w:sz w:val="22"/>
          <w:szCs w:val="22"/>
        </w:rPr>
        <w:t xml:space="preserve"> is expected to deliver a working, demo-ready platform where a student can submit a text or code assignment and, within a short processing window, receive an automated originality and AI-content analysis. Faculty will be able to log in to a dashboard, view a clear risk score (Low / Medium / High) with a breakdown of text similarity, code similarity, and AI-</w:t>
      </w:r>
      <w:r>
        <w:rPr>
          <w:color w:val="222222"/>
          <w:sz w:val="22"/>
          <w:szCs w:val="22"/>
        </w:rPr>
        <w:lastRenderedPageBreak/>
        <w:t>generation probability for each submission, add remarks, and approve or reject it. A downloadable PDF report will consolidate all findings for record-keeping.</w:t>
      </w:r>
    </w:p>
    <w:p w14:paraId="11AFA704" w14:textId="77777777" w:rsidR="009836CB" w:rsidRDefault="00000000">
      <w:pPr>
        <w:spacing w:after="160" w:line="300" w:lineRule="auto"/>
        <w:jc w:val="both"/>
      </w:pPr>
      <w:r>
        <w:rPr>
          <w:color w:val="222222"/>
          <w:sz w:val="22"/>
          <w:szCs w:val="22"/>
        </w:rPr>
        <w:t>Architecturally, the project is expected to demonstrate a realistic, decoupled microservices system: independent services communicating over an API Gateway and an event-driven Kafka backbone, backed by polyglot persistence (PostgreSQL + MongoDB), with resilience patterns (circuit breaker, service discovery, centralized config) in place — giving the project both academic and portfolio value.</w:t>
      </w:r>
    </w:p>
    <w:p w14:paraId="10E449C2" w14:textId="3C7D0241" w:rsidR="009836CB" w:rsidRDefault="00000000" w:rsidP="00A060AA">
      <w:pPr>
        <w:rPr>
          <w:b/>
          <w:bCs/>
          <w:color w:val="1F3864"/>
          <w:sz w:val="30"/>
          <w:szCs w:val="30"/>
        </w:rPr>
      </w:pPr>
      <w:r>
        <w:rPr>
          <w:b/>
          <w:bCs/>
          <w:color w:val="1F3864"/>
          <w:sz w:val="30"/>
          <w:szCs w:val="30"/>
        </w:rPr>
        <w:t>7. Entity-Relationship Diagram (ERD)</w:t>
      </w:r>
    </w:p>
    <w:p w14:paraId="0C09C183" w14:textId="59976B86" w:rsidR="00A060AA" w:rsidRDefault="00A060AA" w:rsidP="00A060AA">
      <w:r>
        <w:rPr>
          <w:noProof/>
        </w:rPr>
        <mc:AlternateContent>
          <mc:Choice Requires="wps">
            <w:drawing>
              <wp:anchor distT="0" distB="0" distL="114300" distR="114300" simplePos="0" relativeHeight="251659264" behindDoc="0" locked="0" layoutInCell="1" allowOverlap="1" wp14:anchorId="2104D038" wp14:editId="3C1CD693">
                <wp:simplePos x="0" y="0"/>
                <wp:positionH relativeFrom="margin">
                  <wp:align>left</wp:align>
                </wp:positionH>
                <wp:positionV relativeFrom="paragraph">
                  <wp:posOffset>57150</wp:posOffset>
                </wp:positionV>
                <wp:extent cx="5753100" cy="7620"/>
                <wp:effectExtent l="0" t="0" r="19050" b="30480"/>
                <wp:wrapNone/>
                <wp:docPr id="1394156297" name="Straight Connector 1"/>
                <wp:cNvGraphicFramePr/>
                <a:graphic xmlns:a="http://schemas.openxmlformats.org/drawingml/2006/main">
                  <a:graphicData uri="http://schemas.microsoft.com/office/word/2010/wordprocessingShape">
                    <wps:wsp>
                      <wps:cNvCnPr/>
                      <wps:spPr>
                        <a:xfrm flipV="1">
                          <a:off x="0" y="0"/>
                          <a:ext cx="575310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E5F487"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pt" to="453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" strokecolor="#4472c4 [3204]" strokeweight=".5pt">
                <v:stroke joinstyle="miter"/>
                <w10:wrap anchorx="margin"/>
              </v:line>
            </w:pict>
          </mc:Fallback>
        </mc:AlternateContent>
      </w:r>
    </w:p>
    <w:p w14:paraId="20EE5C7D" w14:textId="77777777" w:rsidR="009836CB" w:rsidRDefault="00000000">
      <w:pPr>
        <w:spacing w:after="160" w:line="300" w:lineRule="auto"/>
        <w:jc w:val="both"/>
      </w:pPr>
      <w:r>
        <w:rPr>
          <w:color w:val="222222"/>
          <w:sz w:val="22"/>
          <w:szCs w:val="22"/>
        </w:rPr>
        <w:t>The ERD below covers the core data entities owned across the platform's microservices — Authentication, Faculty, Submission, AI Analysis, Report, and Notification services (4 of the 6 microservices contribute the primary data model shown; Report and Notification are also represented). Each microservice owns its own entities and database, following the Database-per-Service pattern; relationships shown across service boundaries (e.g., Submission → Analysis Result) are maintained logically via foreign-key-style references carried in event payloads, not through direct cross-database joins.</w:t>
      </w:r>
    </w:p>
    <w:p w14:paraId="735EE60C" w14:textId="77777777" w:rsidR="009836CB" w:rsidRDefault="00000000">
      <w:pPr>
        <w:spacing w:before="200"/>
        <w:jc w:val="center"/>
      </w:pPr>
      <w:r>
        <w:rPr>
          <w:noProof/>
        </w:rPr>
        <w:drawing>
          <wp:inline distT="0" distB="0" distL="0" distR="0" wp14:anchorId="5F7E7EDD" wp14:editId="1A975996">
            <wp:extent cx="3710940" cy="51968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710940" cy="5196840"/>
                    </a:xfrm>
                    <a:prstGeom prst="rect">
                      <a:avLst/>
                    </a:prstGeom>
                  </pic:spPr>
                </pic:pic>
              </a:graphicData>
            </a:graphic>
          </wp:inline>
        </w:drawing>
      </w:r>
    </w:p>
    <w:p w14:paraId="1AAC54DF" w14:textId="77777777" w:rsidR="009836CB" w:rsidRDefault="00000000">
      <w:pPr>
        <w:spacing w:before="120" w:after="300"/>
        <w:jc w:val="center"/>
      </w:pPr>
      <w:r>
        <w:rPr>
          <w:i/>
          <w:iCs/>
          <w:color w:val="595959"/>
        </w:rPr>
        <w:t xml:space="preserve">Figure 1: Entity-Relationship Diagram — </w:t>
      </w:r>
      <w:proofErr w:type="spellStart"/>
      <w:r>
        <w:rPr>
          <w:i/>
          <w:iCs/>
          <w:color w:val="595959"/>
        </w:rPr>
        <w:t>IntegrityAI</w:t>
      </w:r>
      <w:proofErr w:type="spellEnd"/>
      <w:r>
        <w:rPr>
          <w:i/>
          <w:iCs/>
          <w:color w:val="595959"/>
        </w:rPr>
        <w:t xml:space="preserve"> core data model</w:t>
      </w:r>
    </w:p>
    <w:p w14:paraId="6040A1E3" w14:textId="77777777" w:rsidR="009836CB" w:rsidRDefault="00000000">
      <w:pPr>
        <w:pStyle w:val="Heading2"/>
        <w:spacing w:before="260" w:after="120"/>
      </w:pPr>
      <w:r>
        <w:rPr>
          <w:b/>
          <w:bCs/>
          <w:color w:val="2E5395"/>
          <w:sz w:val="24"/>
          <w:szCs w:val="24"/>
        </w:rPr>
        <w:lastRenderedPageBreak/>
        <w:t>7.1 Entities and Relationships</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5"/>
        <w:gridCol w:w="1803"/>
        <w:gridCol w:w="3065"/>
        <w:gridCol w:w="1803"/>
      </w:tblGrid>
      <w:tr w:rsidR="009836CB" w14:paraId="5B4A1779" w14:textId="77777777">
        <w:tc>
          <w:tcPr>
            <w:tcW w:w="1300" w:type="pct"/>
            <w:shd w:val="clear" w:color="auto" w:fill="1F3864"/>
            <w:tcMar>
              <w:top w:w="90" w:type="dxa"/>
              <w:left w:w="110" w:type="dxa"/>
              <w:bottom w:w="90" w:type="dxa"/>
              <w:right w:w="110" w:type="dxa"/>
            </w:tcMar>
            <w:vAlign w:val="center"/>
          </w:tcPr>
          <w:p w14:paraId="2A8F681E" w14:textId="77777777" w:rsidR="009836CB" w:rsidRDefault="00000000">
            <w:r>
              <w:rPr>
                <w:b/>
                <w:bCs/>
                <w:color w:val="FFFFFF"/>
              </w:rPr>
              <w:t>Entity</w:t>
            </w:r>
          </w:p>
        </w:tc>
        <w:tc>
          <w:tcPr>
            <w:tcW w:w="1000" w:type="pct"/>
            <w:shd w:val="clear" w:color="auto" w:fill="1F3864"/>
            <w:tcMar>
              <w:top w:w="90" w:type="dxa"/>
              <w:left w:w="110" w:type="dxa"/>
              <w:bottom w:w="90" w:type="dxa"/>
              <w:right w:w="110" w:type="dxa"/>
            </w:tcMar>
            <w:vAlign w:val="center"/>
          </w:tcPr>
          <w:p w14:paraId="5A9A1AE4" w14:textId="77777777" w:rsidR="009836CB" w:rsidRDefault="00000000">
            <w:r>
              <w:rPr>
                <w:b/>
                <w:bCs/>
                <w:color w:val="FFFFFF"/>
              </w:rPr>
              <w:t>Owning Service</w:t>
            </w:r>
          </w:p>
        </w:tc>
        <w:tc>
          <w:tcPr>
            <w:tcW w:w="1700" w:type="pct"/>
            <w:shd w:val="clear" w:color="auto" w:fill="1F3864"/>
            <w:tcMar>
              <w:top w:w="90" w:type="dxa"/>
              <w:left w:w="110" w:type="dxa"/>
              <w:bottom w:w="90" w:type="dxa"/>
              <w:right w:w="110" w:type="dxa"/>
            </w:tcMar>
            <w:vAlign w:val="center"/>
          </w:tcPr>
          <w:p w14:paraId="65068E6B" w14:textId="77777777" w:rsidR="009836CB" w:rsidRDefault="00000000">
            <w:r>
              <w:rPr>
                <w:b/>
                <w:bCs/>
                <w:color w:val="FFFFFF"/>
              </w:rPr>
              <w:t>Key Relationship</w:t>
            </w:r>
          </w:p>
        </w:tc>
        <w:tc>
          <w:tcPr>
            <w:tcW w:w="1000" w:type="pct"/>
            <w:shd w:val="clear" w:color="auto" w:fill="1F3864"/>
            <w:tcMar>
              <w:top w:w="90" w:type="dxa"/>
              <w:left w:w="110" w:type="dxa"/>
              <w:bottom w:w="90" w:type="dxa"/>
              <w:right w:w="110" w:type="dxa"/>
            </w:tcMar>
            <w:vAlign w:val="center"/>
          </w:tcPr>
          <w:p w14:paraId="479286CC" w14:textId="77777777" w:rsidR="009836CB" w:rsidRDefault="00000000">
            <w:r>
              <w:rPr>
                <w:b/>
                <w:bCs/>
                <w:color w:val="FFFFFF"/>
              </w:rPr>
              <w:t>Cardinality</w:t>
            </w:r>
          </w:p>
        </w:tc>
      </w:tr>
      <w:tr w:rsidR="009836CB" w14:paraId="4CFFCF0E" w14:textId="77777777">
        <w:tc>
          <w:tcPr>
            <w:tcW w:w="1300" w:type="pct"/>
            <w:shd w:val="clear" w:color="auto" w:fill="FFFFFF"/>
            <w:tcMar>
              <w:top w:w="90" w:type="dxa"/>
              <w:left w:w="110" w:type="dxa"/>
              <w:bottom w:w="90" w:type="dxa"/>
              <w:right w:w="110" w:type="dxa"/>
            </w:tcMar>
            <w:vAlign w:val="center"/>
          </w:tcPr>
          <w:p w14:paraId="44737538" w14:textId="77777777" w:rsidR="009836CB" w:rsidRDefault="00000000">
            <w:r>
              <w:rPr>
                <w:color w:val="222222"/>
              </w:rPr>
              <w:t>User</w:t>
            </w:r>
          </w:p>
        </w:tc>
        <w:tc>
          <w:tcPr>
            <w:tcW w:w="1000" w:type="pct"/>
            <w:shd w:val="clear" w:color="auto" w:fill="FFFFFF"/>
            <w:tcMar>
              <w:top w:w="90" w:type="dxa"/>
              <w:left w:w="110" w:type="dxa"/>
              <w:bottom w:w="90" w:type="dxa"/>
              <w:right w:w="110" w:type="dxa"/>
            </w:tcMar>
            <w:vAlign w:val="center"/>
          </w:tcPr>
          <w:p w14:paraId="1C64AD47" w14:textId="77777777" w:rsidR="009836CB" w:rsidRDefault="00000000">
            <w:r>
              <w:rPr>
                <w:color w:val="222222"/>
              </w:rPr>
              <w:t>Authentication (PostgreSQL)</w:t>
            </w:r>
          </w:p>
        </w:tc>
        <w:tc>
          <w:tcPr>
            <w:tcW w:w="1700" w:type="pct"/>
            <w:shd w:val="clear" w:color="auto" w:fill="FFFFFF"/>
            <w:tcMar>
              <w:top w:w="90" w:type="dxa"/>
              <w:left w:w="110" w:type="dxa"/>
              <w:bottom w:w="90" w:type="dxa"/>
              <w:right w:w="110" w:type="dxa"/>
            </w:tcMar>
            <w:vAlign w:val="center"/>
          </w:tcPr>
          <w:p w14:paraId="5D583EA7" w14:textId="77777777" w:rsidR="009836CB" w:rsidRDefault="00000000">
            <w:r>
              <w:rPr>
                <w:color w:val="222222"/>
              </w:rPr>
              <w:t>Creates Assignments; Submits Submissions; Receives Notifications</w:t>
            </w:r>
          </w:p>
        </w:tc>
        <w:tc>
          <w:tcPr>
            <w:tcW w:w="1000" w:type="pct"/>
            <w:shd w:val="clear" w:color="auto" w:fill="FFFFFF"/>
            <w:tcMar>
              <w:top w:w="90" w:type="dxa"/>
              <w:left w:w="110" w:type="dxa"/>
              <w:bottom w:w="90" w:type="dxa"/>
              <w:right w:w="110" w:type="dxa"/>
            </w:tcMar>
            <w:vAlign w:val="center"/>
          </w:tcPr>
          <w:p w14:paraId="1D687FE9" w14:textId="77777777" w:rsidR="009836CB" w:rsidRDefault="00000000">
            <w:proofErr w:type="gramStart"/>
            <w:r>
              <w:rPr>
                <w:color w:val="222222"/>
              </w:rPr>
              <w:t>1 :</w:t>
            </w:r>
            <w:proofErr w:type="gramEnd"/>
            <w:r>
              <w:rPr>
                <w:color w:val="222222"/>
              </w:rPr>
              <w:t xml:space="preserve"> N</w:t>
            </w:r>
          </w:p>
        </w:tc>
      </w:tr>
      <w:tr w:rsidR="009836CB" w14:paraId="3458DF0B" w14:textId="77777777">
        <w:tc>
          <w:tcPr>
            <w:tcW w:w="1300" w:type="pct"/>
            <w:shd w:val="clear" w:color="auto" w:fill="FFFFFF"/>
            <w:tcMar>
              <w:top w:w="90" w:type="dxa"/>
              <w:left w:w="110" w:type="dxa"/>
              <w:bottom w:w="90" w:type="dxa"/>
              <w:right w:w="110" w:type="dxa"/>
            </w:tcMar>
            <w:vAlign w:val="center"/>
          </w:tcPr>
          <w:p w14:paraId="0CB73BE2" w14:textId="77777777" w:rsidR="009836CB" w:rsidRDefault="00000000">
            <w:r>
              <w:rPr>
                <w:color w:val="222222"/>
              </w:rPr>
              <w:t>Assignment</w:t>
            </w:r>
          </w:p>
        </w:tc>
        <w:tc>
          <w:tcPr>
            <w:tcW w:w="1000" w:type="pct"/>
            <w:shd w:val="clear" w:color="auto" w:fill="FFFFFF"/>
            <w:tcMar>
              <w:top w:w="90" w:type="dxa"/>
              <w:left w:w="110" w:type="dxa"/>
              <w:bottom w:w="90" w:type="dxa"/>
              <w:right w:w="110" w:type="dxa"/>
            </w:tcMar>
            <w:vAlign w:val="center"/>
          </w:tcPr>
          <w:p w14:paraId="29CDAB59" w14:textId="77777777" w:rsidR="009836CB" w:rsidRDefault="00000000">
            <w:pPr>
              <w:rPr>
                <w:color w:val="222222"/>
              </w:rPr>
            </w:pPr>
            <w:r>
              <w:rPr>
                <w:color w:val="222222"/>
              </w:rPr>
              <w:t>Faculty Service</w:t>
            </w:r>
          </w:p>
          <w:p w14:paraId="6C8100E0" w14:textId="52332C07" w:rsidR="00691817" w:rsidRDefault="00691817">
            <w:r>
              <w:rPr>
                <w:color w:val="222222"/>
              </w:rPr>
              <w:t>(PostgreSQL)</w:t>
            </w:r>
          </w:p>
        </w:tc>
        <w:tc>
          <w:tcPr>
            <w:tcW w:w="1700" w:type="pct"/>
            <w:shd w:val="clear" w:color="auto" w:fill="FFFFFF"/>
            <w:tcMar>
              <w:top w:w="90" w:type="dxa"/>
              <w:left w:w="110" w:type="dxa"/>
              <w:bottom w:w="90" w:type="dxa"/>
              <w:right w:w="110" w:type="dxa"/>
            </w:tcMar>
            <w:vAlign w:val="center"/>
          </w:tcPr>
          <w:p w14:paraId="2C0B7EEC" w14:textId="77777777" w:rsidR="009836CB" w:rsidRDefault="00000000">
            <w:r>
              <w:rPr>
                <w:color w:val="222222"/>
              </w:rPr>
              <w:t>Belongs to a faculty User; Receives Submissions</w:t>
            </w:r>
          </w:p>
        </w:tc>
        <w:tc>
          <w:tcPr>
            <w:tcW w:w="1000" w:type="pct"/>
            <w:shd w:val="clear" w:color="auto" w:fill="FFFFFF"/>
            <w:tcMar>
              <w:top w:w="90" w:type="dxa"/>
              <w:left w:w="110" w:type="dxa"/>
              <w:bottom w:w="90" w:type="dxa"/>
              <w:right w:w="110" w:type="dxa"/>
            </w:tcMar>
            <w:vAlign w:val="center"/>
          </w:tcPr>
          <w:p w14:paraId="5010ECCA" w14:textId="77777777" w:rsidR="009836CB" w:rsidRDefault="00000000">
            <w:proofErr w:type="gramStart"/>
            <w:r>
              <w:rPr>
                <w:color w:val="222222"/>
              </w:rPr>
              <w:t>1 :</w:t>
            </w:r>
            <w:proofErr w:type="gramEnd"/>
            <w:r>
              <w:rPr>
                <w:color w:val="222222"/>
              </w:rPr>
              <w:t xml:space="preserve"> N</w:t>
            </w:r>
          </w:p>
        </w:tc>
      </w:tr>
      <w:tr w:rsidR="009836CB" w14:paraId="7ABA1900" w14:textId="77777777">
        <w:tc>
          <w:tcPr>
            <w:tcW w:w="1300" w:type="pct"/>
            <w:shd w:val="clear" w:color="auto" w:fill="FFFFFF"/>
            <w:tcMar>
              <w:top w:w="90" w:type="dxa"/>
              <w:left w:w="110" w:type="dxa"/>
              <w:bottom w:w="90" w:type="dxa"/>
              <w:right w:w="110" w:type="dxa"/>
            </w:tcMar>
            <w:vAlign w:val="center"/>
          </w:tcPr>
          <w:p w14:paraId="507184C8" w14:textId="77777777" w:rsidR="009836CB" w:rsidRDefault="00000000">
            <w:r>
              <w:rPr>
                <w:color w:val="222222"/>
              </w:rPr>
              <w:t>Submission</w:t>
            </w:r>
          </w:p>
        </w:tc>
        <w:tc>
          <w:tcPr>
            <w:tcW w:w="1000" w:type="pct"/>
            <w:shd w:val="clear" w:color="auto" w:fill="FFFFFF"/>
            <w:tcMar>
              <w:top w:w="90" w:type="dxa"/>
              <w:left w:w="110" w:type="dxa"/>
              <w:bottom w:w="90" w:type="dxa"/>
              <w:right w:w="110" w:type="dxa"/>
            </w:tcMar>
            <w:vAlign w:val="center"/>
          </w:tcPr>
          <w:p w14:paraId="2DFFDA0E" w14:textId="77777777" w:rsidR="009836CB" w:rsidRDefault="00000000">
            <w:r>
              <w:rPr>
                <w:color w:val="222222"/>
              </w:rPr>
              <w:t>Submission Service (MongoDB)</w:t>
            </w:r>
          </w:p>
        </w:tc>
        <w:tc>
          <w:tcPr>
            <w:tcW w:w="1700" w:type="pct"/>
            <w:shd w:val="clear" w:color="auto" w:fill="FFFFFF"/>
            <w:tcMar>
              <w:top w:w="90" w:type="dxa"/>
              <w:left w:w="110" w:type="dxa"/>
              <w:bottom w:w="90" w:type="dxa"/>
              <w:right w:w="110" w:type="dxa"/>
            </w:tcMar>
            <w:vAlign w:val="center"/>
          </w:tcPr>
          <w:p w14:paraId="4B5D060E" w14:textId="77777777" w:rsidR="009836CB" w:rsidRDefault="00000000">
            <w:r>
              <w:rPr>
                <w:color w:val="222222"/>
              </w:rPr>
              <w:t>Belongs to a student User and an Assignment; has one Analysis Result</w:t>
            </w:r>
          </w:p>
        </w:tc>
        <w:tc>
          <w:tcPr>
            <w:tcW w:w="1000" w:type="pct"/>
            <w:shd w:val="clear" w:color="auto" w:fill="FFFFFF"/>
            <w:tcMar>
              <w:top w:w="90" w:type="dxa"/>
              <w:left w:w="110" w:type="dxa"/>
              <w:bottom w:w="90" w:type="dxa"/>
              <w:right w:w="110" w:type="dxa"/>
            </w:tcMar>
            <w:vAlign w:val="center"/>
          </w:tcPr>
          <w:p w14:paraId="4ABE1F0D" w14:textId="77777777" w:rsidR="009836CB" w:rsidRDefault="00000000">
            <w:proofErr w:type="gramStart"/>
            <w:r>
              <w:rPr>
                <w:color w:val="222222"/>
              </w:rPr>
              <w:t>1 :</w:t>
            </w:r>
            <w:proofErr w:type="gramEnd"/>
            <w:r>
              <w:rPr>
                <w:color w:val="222222"/>
              </w:rPr>
              <w:t xml:space="preserve"> N / </w:t>
            </w:r>
            <w:proofErr w:type="gramStart"/>
            <w:r>
              <w:rPr>
                <w:color w:val="222222"/>
              </w:rPr>
              <w:t>1 :</w:t>
            </w:r>
            <w:proofErr w:type="gramEnd"/>
            <w:r>
              <w:rPr>
                <w:color w:val="222222"/>
              </w:rPr>
              <w:t xml:space="preserve"> 1</w:t>
            </w:r>
          </w:p>
        </w:tc>
      </w:tr>
      <w:tr w:rsidR="009836CB" w14:paraId="653F0B87" w14:textId="77777777">
        <w:tc>
          <w:tcPr>
            <w:tcW w:w="1300" w:type="pct"/>
            <w:shd w:val="clear" w:color="auto" w:fill="FFFFFF"/>
            <w:tcMar>
              <w:top w:w="90" w:type="dxa"/>
              <w:left w:w="110" w:type="dxa"/>
              <w:bottom w:w="90" w:type="dxa"/>
              <w:right w:w="110" w:type="dxa"/>
            </w:tcMar>
            <w:vAlign w:val="center"/>
          </w:tcPr>
          <w:p w14:paraId="505E08B0" w14:textId="77777777" w:rsidR="009836CB" w:rsidRDefault="00000000">
            <w:r>
              <w:rPr>
                <w:color w:val="222222"/>
              </w:rPr>
              <w:t>Analysis Result</w:t>
            </w:r>
          </w:p>
        </w:tc>
        <w:tc>
          <w:tcPr>
            <w:tcW w:w="1000" w:type="pct"/>
            <w:shd w:val="clear" w:color="auto" w:fill="FFFFFF"/>
            <w:tcMar>
              <w:top w:w="90" w:type="dxa"/>
              <w:left w:w="110" w:type="dxa"/>
              <w:bottom w:w="90" w:type="dxa"/>
              <w:right w:w="110" w:type="dxa"/>
            </w:tcMar>
            <w:vAlign w:val="center"/>
          </w:tcPr>
          <w:p w14:paraId="2337AFEB" w14:textId="77777777" w:rsidR="009836CB" w:rsidRDefault="00000000">
            <w:pPr>
              <w:rPr>
                <w:color w:val="222222"/>
              </w:rPr>
            </w:pPr>
            <w:r>
              <w:rPr>
                <w:color w:val="222222"/>
              </w:rPr>
              <w:t>AI Analysis Service</w:t>
            </w:r>
          </w:p>
          <w:p w14:paraId="42803329" w14:textId="1086D470" w:rsidR="00691817" w:rsidRDefault="00691817">
            <w:r>
              <w:rPr>
                <w:color w:val="222222"/>
              </w:rPr>
              <w:t>(MongoDB)</w:t>
            </w:r>
          </w:p>
        </w:tc>
        <w:tc>
          <w:tcPr>
            <w:tcW w:w="1700" w:type="pct"/>
            <w:shd w:val="clear" w:color="auto" w:fill="FFFFFF"/>
            <w:tcMar>
              <w:top w:w="90" w:type="dxa"/>
              <w:left w:w="110" w:type="dxa"/>
              <w:bottom w:w="90" w:type="dxa"/>
              <w:right w:w="110" w:type="dxa"/>
            </w:tcMar>
            <w:vAlign w:val="center"/>
          </w:tcPr>
          <w:p w14:paraId="4B3782F6" w14:textId="77777777" w:rsidR="009836CB" w:rsidRDefault="00000000">
            <w:r>
              <w:rPr>
                <w:color w:val="222222"/>
              </w:rPr>
              <w:t>Belongs to a Submission; produces one Report</w:t>
            </w:r>
          </w:p>
        </w:tc>
        <w:tc>
          <w:tcPr>
            <w:tcW w:w="1000" w:type="pct"/>
            <w:shd w:val="clear" w:color="auto" w:fill="FFFFFF"/>
            <w:tcMar>
              <w:top w:w="90" w:type="dxa"/>
              <w:left w:w="110" w:type="dxa"/>
              <w:bottom w:w="90" w:type="dxa"/>
              <w:right w:w="110" w:type="dxa"/>
            </w:tcMar>
            <w:vAlign w:val="center"/>
          </w:tcPr>
          <w:p w14:paraId="2BA7F3C1" w14:textId="77777777" w:rsidR="009836CB" w:rsidRDefault="00000000">
            <w:proofErr w:type="gramStart"/>
            <w:r>
              <w:rPr>
                <w:color w:val="222222"/>
              </w:rPr>
              <w:t>1 :</w:t>
            </w:r>
            <w:proofErr w:type="gramEnd"/>
            <w:r>
              <w:rPr>
                <w:color w:val="222222"/>
              </w:rPr>
              <w:t xml:space="preserve"> 1</w:t>
            </w:r>
          </w:p>
        </w:tc>
      </w:tr>
      <w:tr w:rsidR="009836CB" w14:paraId="487F2BAC" w14:textId="77777777">
        <w:tc>
          <w:tcPr>
            <w:tcW w:w="1300" w:type="pct"/>
            <w:shd w:val="clear" w:color="auto" w:fill="FFFFFF"/>
            <w:tcMar>
              <w:top w:w="90" w:type="dxa"/>
              <w:left w:w="110" w:type="dxa"/>
              <w:bottom w:w="90" w:type="dxa"/>
              <w:right w:w="110" w:type="dxa"/>
            </w:tcMar>
            <w:vAlign w:val="center"/>
          </w:tcPr>
          <w:p w14:paraId="3EAA20C5" w14:textId="77777777" w:rsidR="009836CB" w:rsidRDefault="00000000">
            <w:r>
              <w:rPr>
                <w:color w:val="222222"/>
              </w:rPr>
              <w:t>Report</w:t>
            </w:r>
          </w:p>
        </w:tc>
        <w:tc>
          <w:tcPr>
            <w:tcW w:w="1000" w:type="pct"/>
            <w:shd w:val="clear" w:color="auto" w:fill="FFFFFF"/>
            <w:tcMar>
              <w:top w:w="90" w:type="dxa"/>
              <w:left w:w="110" w:type="dxa"/>
              <w:bottom w:w="90" w:type="dxa"/>
              <w:right w:w="110" w:type="dxa"/>
            </w:tcMar>
            <w:vAlign w:val="center"/>
          </w:tcPr>
          <w:p w14:paraId="286533B4" w14:textId="77777777" w:rsidR="009836CB" w:rsidRDefault="00000000">
            <w:pPr>
              <w:rPr>
                <w:color w:val="222222"/>
              </w:rPr>
            </w:pPr>
            <w:r>
              <w:rPr>
                <w:color w:val="222222"/>
              </w:rPr>
              <w:t>Report Service</w:t>
            </w:r>
          </w:p>
          <w:p w14:paraId="1FB80088" w14:textId="4D7D385D" w:rsidR="00691817" w:rsidRDefault="00691817">
            <w:r>
              <w:rPr>
                <w:color w:val="222222"/>
              </w:rPr>
              <w:t>(PostgreSQL)</w:t>
            </w:r>
          </w:p>
        </w:tc>
        <w:tc>
          <w:tcPr>
            <w:tcW w:w="1700" w:type="pct"/>
            <w:shd w:val="clear" w:color="auto" w:fill="FFFFFF"/>
            <w:tcMar>
              <w:top w:w="90" w:type="dxa"/>
              <w:left w:w="110" w:type="dxa"/>
              <w:bottom w:w="90" w:type="dxa"/>
              <w:right w:w="110" w:type="dxa"/>
            </w:tcMar>
            <w:vAlign w:val="center"/>
          </w:tcPr>
          <w:p w14:paraId="70F92883" w14:textId="77777777" w:rsidR="009836CB" w:rsidRDefault="00000000">
            <w:r>
              <w:rPr>
                <w:color w:val="222222"/>
              </w:rPr>
              <w:t>Generated from an Analysis Result</w:t>
            </w:r>
          </w:p>
        </w:tc>
        <w:tc>
          <w:tcPr>
            <w:tcW w:w="1000" w:type="pct"/>
            <w:shd w:val="clear" w:color="auto" w:fill="FFFFFF"/>
            <w:tcMar>
              <w:top w:w="90" w:type="dxa"/>
              <w:left w:w="110" w:type="dxa"/>
              <w:bottom w:w="90" w:type="dxa"/>
              <w:right w:w="110" w:type="dxa"/>
            </w:tcMar>
            <w:vAlign w:val="center"/>
          </w:tcPr>
          <w:p w14:paraId="219411E4" w14:textId="77777777" w:rsidR="009836CB" w:rsidRDefault="00000000">
            <w:proofErr w:type="gramStart"/>
            <w:r>
              <w:rPr>
                <w:color w:val="222222"/>
              </w:rPr>
              <w:t>1 :</w:t>
            </w:r>
            <w:proofErr w:type="gramEnd"/>
            <w:r>
              <w:rPr>
                <w:color w:val="222222"/>
              </w:rPr>
              <w:t xml:space="preserve"> 1</w:t>
            </w:r>
          </w:p>
        </w:tc>
      </w:tr>
      <w:tr w:rsidR="009836CB" w14:paraId="70DB9BCC" w14:textId="77777777">
        <w:tc>
          <w:tcPr>
            <w:tcW w:w="1300" w:type="pct"/>
            <w:shd w:val="clear" w:color="auto" w:fill="FFFFFF"/>
            <w:tcMar>
              <w:top w:w="90" w:type="dxa"/>
              <w:left w:w="110" w:type="dxa"/>
              <w:bottom w:w="90" w:type="dxa"/>
              <w:right w:w="110" w:type="dxa"/>
            </w:tcMar>
            <w:vAlign w:val="center"/>
          </w:tcPr>
          <w:p w14:paraId="51BB4923" w14:textId="77777777" w:rsidR="009836CB" w:rsidRDefault="00000000">
            <w:r>
              <w:rPr>
                <w:color w:val="222222"/>
              </w:rPr>
              <w:t>Notification</w:t>
            </w:r>
          </w:p>
        </w:tc>
        <w:tc>
          <w:tcPr>
            <w:tcW w:w="1000" w:type="pct"/>
            <w:shd w:val="clear" w:color="auto" w:fill="FFFFFF"/>
            <w:tcMar>
              <w:top w:w="90" w:type="dxa"/>
              <w:left w:w="110" w:type="dxa"/>
              <w:bottom w:w="90" w:type="dxa"/>
              <w:right w:w="110" w:type="dxa"/>
            </w:tcMar>
            <w:vAlign w:val="center"/>
          </w:tcPr>
          <w:p w14:paraId="7D8FFD9D" w14:textId="77777777" w:rsidR="009836CB" w:rsidRDefault="00000000">
            <w:pPr>
              <w:rPr>
                <w:color w:val="222222"/>
              </w:rPr>
            </w:pPr>
            <w:r>
              <w:rPr>
                <w:color w:val="222222"/>
              </w:rPr>
              <w:t>Notification Service</w:t>
            </w:r>
          </w:p>
          <w:p w14:paraId="18F1B3E3" w14:textId="18017B1B" w:rsidR="00691817" w:rsidRDefault="00691817">
            <w:r>
              <w:rPr>
                <w:color w:val="222222"/>
              </w:rPr>
              <w:t>(PostgreSQL)</w:t>
            </w:r>
          </w:p>
        </w:tc>
        <w:tc>
          <w:tcPr>
            <w:tcW w:w="1700" w:type="pct"/>
            <w:shd w:val="clear" w:color="auto" w:fill="FFFFFF"/>
            <w:tcMar>
              <w:top w:w="90" w:type="dxa"/>
              <w:left w:w="110" w:type="dxa"/>
              <w:bottom w:w="90" w:type="dxa"/>
              <w:right w:w="110" w:type="dxa"/>
            </w:tcMar>
            <w:vAlign w:val="center"/>
          </w:tcPr>
          <w:p w14:paraId="0B8EBBB9" w14:textId="77777777" w:rsidR="009836CB" w:rsidRDefault="00000000">
            <w:r>
              <w:rPr>
                <w:color w:val="222222"/>
              </w:rPr>
              <w:t>Sent to a User (triggered by submission/analysis/feedback events)</w:t>
            </w:r>
          </w:p>
        </w:tc>
        <w:tc>
          <w:tcPr>
            <w:tcW w:w="1000" w:type="pct"/>
            <w:shd w:val="clear" w:color="auto" w:fill="FFFFFF"/>
            <w:tcMar>
              <w:top w:w="90" w:type="dxa"/>
              <w:left w:w="110" w:type="dxa"/>
              <w:bottom w:w="90" w:type="dxa"/>
              <w:right w:w="110" w:type="dxa"/>
            </w:tcMar>
            <w:vAlign w:val="center"/>
          </w:tcPr>
          <w:p w14:paraId="7DC45AC8" w14:textId="77777777" w:rsidR="009836CB" w:rsidRDefault="00000000">
            <w:proofErr w:type="gramStart"/>
            <w:r>
              <w:rPr>
                <w:color w:val="222222"/>
              </w:rPr>
              <w:t>1 :</w:t>
            </w:r>
            <w:proofErr w:type="gramEnd"/>
            <w:r>
              <w:rPr>
                <w:color w:val="222222"/>
              </w:rPr>
              <w:t xml:space="preserve"> N</w:t>
            </w:r>
          </w:p>
        </w:tc>
      </w:tr>
    </w:tbl>
    <w:p w14:paraId="33F4C5BD" w14:textId="77777777" w:rsidR="009836CB" w:rsidRDefault="009836CB">
      <w:pPr>
        <w:spacing w:before="260"/>
      </w:pPr>
    </w:p>
    <w:p w14:paraId="5052BB67" w14:textId="77777777" w:rsidR="009836CB" w:rsidRDefault="00000000">
      <w:pPr>
        <w:pStyle w:val="Heading2"/>
        <w:spacing w:before="260" w:after="120"/>
      </w:pPr>
      <w:r>
        <w:rPr>
          <w:b/>
          <w:bCs/>
          <w:color w:val="2E5395"/>
          <w:sz w:val="24"/>
          <w:szCs w:val="24"/>
        </w:rPr>
        <w:t>7.2 Normalization Notes</w:t>
      </w:r>
    </w:p>
    <w:p w14:paraId="10EC2CCC" w14:textId="77777777" w:rsidR="009836CB" w:rsidRDefault="00000000">
      <w:pPr>
        <w:pStyle w:val="ListParagraph"/>
        <w:numPr>
          <w:ilvl w:val="0"/>
          <w:numId w:val="2"/>
        </w:numPr>
        <w:spacing w:after="90" w:line="280" w:lineRule="auto"/>
      </w:pPr>
      <w:r>
        <w:rPr>
          <w:color w:val="222222"/>
          <w:sz w:val="22"/>
          <w:szCs w:val="22"/>
        </w:rPr>
        <w:t>1NF: every attribute in each entity is atomic — e.g., composite information such as multiple similarity metrics is split into separate columns (</w:t>
      </w:r>
      <w:proofErr w:type="spellStart"/>
      <w:r>
        <w:rPr>
          <w:color w:val="222222"/>
          <w:sz w:val="22"/>
          <w:szCs w:val="22"/>
        </w:rPr>
        <w:t>text_similarity_pct</w:t>
      </w:r>
      <w:proofErr w:type="spellEnd"/>
      <w:r>
        <w:rPr>
          <w:color w:val="222222"/>
          <w:sz w:val="22"/>
          <w:szCs w:val="22"/>
        </w:rPr>
        <w:t xml:space="preserve">, </w:t>
      </w:r>
      <w:proofErr w:type="spellStart"/>
      <w:r>
        <w:rPr>
          <w:color w:val="222222"/>
          <w:sz w:val="22"/>
          <w:szCs w:val="22"/>
        </w:rPr>
        <w:t>code_similarity_pct</w:t>
      </w:r>
      <w:proofErr w:type="spellEnd"/>
      <w:r>
        <w:rPr>
          <w:color w:val="222222"/>
          <w:sz w:val="22"/>
          <w:szCs w:val="22"/>
        </w:rPr>
        <w:t xml:space="preserve">, </w:t>
      </w:r>
      <w:proofErr w:type="spellStart"/>
      <w:r>
        <w:rPr>
          <w:color w:val="222222"/>
          <w:sz w:val="22"/>
          <w:szCs w:val="22"/>
        </w:rPr>
        <w:t>ai_probability_pct</w:t>
      </w:r>
      <w:proofErr w:type="spellEnd"/>
      <w:r>
        <w:rPr>
          <w:color w:val="222222"/>
          <w:sz w:val="22"/>
          <w:szCs w:val="22"/>
        </w:rPr>
        <w:t>) rather than stored as one combined field.</w:t>
      </w:r>
    </w:p>
    <w:p w14:paraId="4F7F416F" w14:textId="77777777" w:rsidR="009836CB" w:rsidRDefault="00000000">
      <w:pPr>
        <w:pStyle w:val="ListParagraph"/>
        <w:numPr>
          <w:ilvl w:val="0"/>
          <w:numId w:val="2"/>
        </w:numPr>
        <w:spacing w:after="90" w:line="280" w:lineRule="auto"/>
      </w:pPr>
      <w:r>
        <w:rPr>
          <w:color w:val="222222"/>
          <w:sz w:val="22"/>
          <w:szCs w:val="22"/>
        </w:rPr>
        <w:t>2NF: every non-key attribute depends on the whole primary key. Since every table here uses a single-column surrogate key (UUID), partial dependency cannot occur.</w:t>
      </w:r>
    </w:p>
    <w:p w14:paraId="5FFE296C" w14:textId="77777777" w:rsidR="009836CB" w:rsidRDefault="00000000">
      <w:pPr>
        <w:pStyle w:val="ListParagraph"/>
        <w:numPr>
          <w:ilvl w:val="0"/>
          <w:numId w:val="2"/>
        </w:numPr>
        <w:spacing w:after="90" w:line="280" w:lineRule="auto"/>
      </w:pPr>
      <w:r>
        <w:rPr>
          <w:color w:val="222222"/>
          <w:sz w:val="22"/>
          <w:szCs w:val="22"/>
        </w:rPr>
        <w:t>3NF: transitive dependencies are removed by separating concerns into distinct services/entities — e.g., faculty remarks and decisions live in Report rather than being duplicated on Submission, and risk scoring lives in Analysis Result rather than being recalculated or stored redundantly elsewhere.</w:t>
      </w:r>
    </w:p>
    <w:p w14:paraId="3487F5DE" w14:textId="77777777" w:rsidR="009836CB" w:rsidRDefault="00000000">
      <w:pPr>
        <w:pStyle w:val="ListParagraph"/>
        <w:numPr>
          <w:ilvl w:val="0"/>
          <w:numId w:val="2"/>
        </w:numPr>
        <w:spacing w:after="90" w:line="280" w:lineRule="auto"/>
      </w:pPr>
      <w:r>
        <w:rPr>
          <w:color w:val="222222"/>
          <w:sz w:val="22"/>
          <w:szCs w:val="22"/>
        </w:rPr>
        <w:t xml:space="preserve">Referential integrity across service boundaries (e.g., </w:t>
      </w:r>
      <w:proofErr w:type="spellStart"/>
      <w:r>
        <w:rPr>
          <w:color w:val="222222"/>
          <w:sz w:val="22"/>
          <w:szCs w:val="22"/>
        </w:rPr>
        <w:t>User.user_id</w:t>
      </w:r>
      <w:proofErr w:type="spellEnd"/>
      <w:r>
        <w:rPr>
          <w:color w:val="222222"/>
          <w:sz w:val="22"/>
          <w:szCs w:val="22"/>
        </w:rPr>
        <w:t xml:space="preserve"> referenced from Submission, Assignment, and Notification) is enforced at the application/event level rather than via database-level foreign keys, consistent with the Database-per-Service microservices pattern.</w:t>
      </w:r>
    </w:p>
    <w:p w14:paraId="794ECF95" w14:textId="47F82371" w:rsidR="009836CB" w:rsidRDefault="009836CB" w:rsidP="00A060AA">
      <w:pPr>
        <w:pStyle w:val="ListParagraph"/>
        <w:spacing w:after="90" w:line="280" w:lineRule="auto"/>
        <w:ind w:left="460"/>
      </w:pPr>
    </w:p>
    <w:sectPr w:rsidR="009836CB">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E7705" w14:textId="77777777" w:rsidR="006F4FD8" w:rsidRDefault="006F4FD8">
      <w:r>
        <w:separator/>
      </w:r>
    </w:p>
  </w:endnote>
  <w:endnote w:type="continuationSeparator" w:id="0">
    <w:p w14:paraId="1FC9707D" w14:textId="77777777" w:rsidR="006F4FD8" w:rsidRDefault="006F4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BAA93" w14:textId="77777777" w:rsidR="009836CB"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A060AA">
      <w:rPr>
        <w:noProof/>
        <w:color w:val="999999"/>
        <w:sz w:val="16"/>
        <w:szCs w:val="16"/>
      </w:rPr>
      <w:t>2</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A060AA">
      <w:rPr>
        <w:noProof/>
        <w:color w:val="999999"/>
        <w:sz w:val="16"/>
        <w:szCs w:val="16"/>
      </w:rPr>
      <w:t>3</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38FBC" w14:textId="77777777" w:rsidR="006F4FD8" w:rsidRDefault="006F4FD8">
      <w:r>
        <w:separator/>
      </w:r>
    </w:p>
  </w:footnote>
  <w:footnote w:type="continuationSeparator" w:id="0">
    <w:p w14:paraId="57F5431D" w14:textId="77777777" w:rsidR="006F4FD8" w:rsidRDefault="006F4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CEAC" w14:textId="77777777" w:rsidR="009836CB" w:rsidRDefault="00000000">
    <w:pPr>
      <w:pBdr>
        <w:bottom w:val="single" w:sz="4" w:space="4" w:color="D9D9D9"/>
      </w:pBdr>
      <w:jc w:val="right"/>
    </w:pPr>
    <w:proofErr w:type="spellStart"/>
    <w:r>
      <w:rPr>
        <w:color w:val="999999"/>
        <w:sz w:val="16"/>
        <w:szCs w:val="16"/>
      </w:rPr>
      <w:t>IntegrityAI</w:t>
    </w:r>
    <w:proofErr w:type="spellEnd"/>
    <w:r>
      <w:rPr>
        <w:color w:val="999999"/>
        <w:sz w:val="16"/>
        <w:szCs w:val="16"/>
      </w:rPr>
      <w:t xml:space="preserve"> — Phase 1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C139A"/>
    <w:multiLevelType w:val="hybridMultilevel"/>
    <w:tmpl w:val="77C06280"/>
    <w:lvl w:ilvl="0" w:tplc="3A9822B0">
      <w:start w:val="1"/>
      <w:numFmt w:val="bullet"/>
      <w:lvlText w:val="●"/>
      <w:lvlJc w:val="left"/>
      <w:pPr>
        <w:ind w:left="720" w:hanging="360"/>
      </w:pPr>
    </w:lvl>
    <w:lvl w:ilvl="1" w:tplc="17186C52">
      <w:start w:val="1"/>
      <w:numFmt w:val="bullet"/>
      <w:lvlText w:val="○"/>
      <w:lvlJc w:val="left"/>
      <w:pPr>
        <w:ind w:left="1440" w:hanging="360"/>
      </w:pPr>
    </w:lvl>
    <w:lvl w:ilvl="2" w:tplc="FE58FE36">
      <w:start w:val="1"/>
      <w:numFmt w:val="bullet"/>
      <w:lvlText w:val="■"/>
      <w:lvlJc w:val="left"/>
      <w:pPr>
        <w:ind w:left="2160" w:hanging="360"/>
      </w:pPr>
    </w:lvl>
    <w:lvl w:ilvl="3" w:tplc="EFAEA6BA">
      <w:start w:val="1"/>
      <w:numFmt w:val="bullet"/>
      <w:lvlText w:val="●"/>
      <w:lvlJc w:val="left"/>
      <w:pPr>
        <w:ind w:left="2880" w:hanging="360"/>
      </w:pPr>
    </w:lvl>
    <w:lvl w:ilvl="4" w:tplc="C80E3BEC">
      <w:start w:val="1"/>
      <w:numFmt w:val="bullet"/>
      <w:lvlText w:val="○"/>
      <w:lvlJc w:val="left"/>
      <w:pPr>
        <w:ind w:left="3600" w:hanging="360"/>
      </w:pPr>
    </w:lvl>
    <w:lvl w:ilvl="5" w:tplc="163A317E">
      <w:start w:val="1"/>
      <w:numFmt w:val="bullet"/>
      <w:lvlText w:val="■"/>
      <w:lvlJc w:val="left"/>
      <w:pPr>
        <w:ind w:left="4320" w:hanging="360"/>
      </w:pPr>
    </w:lvl>
    <w:lvl w:ilvl="6" w:tplc="F62CBA0A">
      <w:start w:val="1"/>
      <w:numFmt w:val="bullet"/>
      <w:lvlText w:val="●"/>
      <w:lvlJc w:val="left"/>
      <w:pPr>
        <w:ind w:left="5040" w:hanging="360"/>
      </w:pPr>
    </w:lvl>
    <w:lvl w:ilvl="7" w:tplc="99804B3C">
      <w:start w:val="1"/>
      <w:numFmt w:val="bullet"/>
      <w:lvlText w:val="●"/>
      <w:lvlJc w:val="left"/>
      <w:pPr>
        <w:ind w:left="5760" w:hanging="360"/>
      </w:pPr>
    </w:lvl>
    <w:lvl w:ilvl="8" w:tplc="C0562B7C">
      <w:start w:val="1"/>
      <w:numFmt w:val="bullet"/>
      <w:lvlText w:val="●"/>
      <w:lvlJc w:val="left"/>
      <w:pPr>
        <w:ind w:left="6480" w:hanging="360"/>
      </w:pPr>
    </w:lvl>
  </w:abstractNum>
  <w:abstractNum w:abstractNumId="1" w15:restartNumberingAfterBreak="0">
    <w:nsid w:val="33383072"/>
    <w:multiLevelType w:val="hybridMultilevel"/>
    <w:tmpl w:val="9C3A03E6"/>
    <w:lvl w:ilvl="0" w:tplc="0F209F02">
      <w:start w:val="1"/>
      <w:numFmt w:val="bullet"/>
      <w:lvlText w:val="•"/>
      <w:lvlJc w:val="left"/>
      <w:pPr>
        <w:ind w:left="460" w:hanging="260"/>
      </w:pPr>
    </w:lvl>
    <w:lvl w:ilvl="1" w:tplc="9A289752">
      <w:start w:val="1"/>
      <w:numFmt w:val="bullet"/>
      <w:lvlText w:val="○"/>
      <w:lvlJc w:val="left"/>
      <w:pPr>
        <w:ind w:left="820" w:hanging="260"/>
      </w:pPr>
    </w:lvl>
    <w:lvl w:ilvl="2" w:tplc="C0868CD0">
      <w:numFmt w:val="decimal"/>
      <w:lvlText w:val=""/>
      <w:lvlJc w:val="left"/>
    </w:lvl>
    <w:lvl w:ilvl="3" w:tplc="AE047832">
      <w:numFmt w:val="decimal"/>
      <w:lvlText w:val=""/>
      <w:lvlJc w:val="left"/>
    </w:lvl>
    <w:lvl w:ilvl="4" w:tplc="7242DA9A">
      <w:numFmt w:val="decimal"/>
      <w:lvlText w:val=""/>
      <w:lvlJc w:val="left"/>
    </w:lvl>
    <w:lvl w:ilvl="5" w:tplc="C12E872C">
      <w:numFmt w:val="decimal"/>
      <w:lvlText w:val=""/>
      <w:lvlJc w:val="left"/>
    </w:lvl>
    <w:lvl w:ilvl="6" w:tplc="2572CE84">
      <w:numFmt w:val="decimal"/>
      <w:lvlText w:val=""/>
      <w:lvlJc w:val="left"/>
    </w:lvl>
    <w:lvl w:ilvl="7" w:tplc="1D4A2466">
      <w:numFmt w:val="decimal"/>
      <w:lvlText w:val=""/>
      <w:lvlJc w:val="left"/>
    </w:lvl>
    <w:lvl w:ilvl="8" w:tplc="CC36B788">
      <w:numFmt w:val="decimal"/>
      <w:lvlText w:val=""/>
      <w:lvlJc w:val="left"/>
    </w:lvl>
  </w:abstractNum>
  <w:num w:numId="1" w16cid:durableId="2057467283">
    <w:abstractNumId w:val="0"/>
    <w:lvlOverride w:ilvl="0">
      <w:startOverride w:val="1"/>
    </w:lvlOverride>
  </w:num>
  <w:num w:numId="2" w16cid:durableId="20937442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6CB"/>
    <w:rsid w:val="00691817"/>
    <w:rsid w:val="006F4FD8"/>
    <w:rsid w:val="009836CB"/>
    <w:rsid w:val="00A060AA"/>
    <w:rsid w:val="00BC1592"/>
    <w:rsid w:val="00C53742"/>
    <w:rsid w:val="00F86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663EC"/>
  <w15:docId w15:val="{3B8E406A-0D46-4B40-AF11-F7CE3922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19EC96D26D4740A534A7638049FF10" ma:contentTypeVersion="11" ma:contentTypeDescription="Create a new document." ma:contentTypeScope="" ma:versionID="ed4341f2715f605278eb23f6d10f0405">
  <xsd:schema xmlns:xsd="http://www.w3.org/2001/XMLSchema" xmlns:xs="http://www.w3.org/2001/XMLSchema" xmlns:p="http://schemas.microsoft.com/office/2006/metadata/properties" xmlns:ns2="57e1be3b-102e-49f1-a3a8-3fbb1e208688" xmlns:ns3="3ca841db-7393-41e1-a15e-9a938065ba81" targetNamespace="http://schemas.microsoft.com/office/2006/metadata/properties" ma:root="true" ma:fieldsID="e046e614d00fcc2a26458fb19bca9294" ns2:_="" ns3:_="">
    <xsd:import namespace="57e1be3b-102e-49f1-a3a8-3fbb1e208688"/>
    <xsd:import namespace="3ca841db-7393-41e1-a15e-9a938065ba8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e1be3b-102e-49f1-a3a8-3fbb1e2086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a841db-7393-41e1-a15e-9a938065ba8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cd80981-0e4c-4b23-9f6b-d7da286a7c19}" ma:internalName="TaxCatchAll" ma:showField="CatchAllData" ma:web="3ca841db-7393-41e1-a15e-9a938065ba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7e1be3b-102e-49f1-a3a8-3fbb1e208688" xsi:nil="true"/>
    <TaxCatchAll xmlns="3ca841db-7393-41e1-a15e-9a938065ba81" xsi:nil="true"/>
    <lcf76f155ced4ddcb4097134ff3c332f xmlns="57e1be3b-102e-49f1-a3a8-3fbb1e2086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987797-EF45-4B37-904D-900B6680170D}"/>
</file>

<file path=customXml/itemProps2.xml><?xml version="1.0" encoding="utf-8"?>
<ds:datastoreItem xmlns:ds="http://schemas.openxmlformats.org/officeDocument/2006/customXml" ds:itemID="{8D0FEB70-336E-4B16-AADA-C1D44E080353}"/>
</file>

<file path=customXml/itemProps3.xml><?xml version="1.0" encoding="utf-8"?>
<ds:datastoreItem xmlns:ds="http://schemas.openxmlformats.org/officeDocument/2006/customXml" ds:itemID="{176C31B1-5AC3-485E-BEBA-C93DDC416EAE}"/>
</file>

<file path=docProps/app.xml><?xml version="1.0" encoding="utf-8"?>
<Properties xmlns="http://schemas.openxmlformats.org/officeDocument/2006/extended-properties" xmlns:vt="http://schemas.openxmlformats.org/officeDocument/2006/docPropsVTypes">
  <Template>Normal</Template>
  <TotalTime>11</TotalTime>
  <Pages>6</Pages>
  <Words>1518</Words>
  <Characters>8659</Characters>
  <Application>Microsoft Office Word</Application>
  <DocSecurity>0</DocSecurity>
  <Lines>72</Lines>
  <Paragraphs>20</Paragraphs>
  <ScaleCrop>false</ScaleCrop>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AARMEE PATEL - 70612500021</cp:lastModifiedBy>
  <cp:revision>3</cp:revision>
  <dcterms:created xsi:type="dcterms:W3CDTF">2026-08-05T16:57:00Z</dcterms:created>
  <dcterms:modified xsi:type="dcterms:W3CDTF">2026-08-06T16:21:00Z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0x0101004619EC96D26D4740A534A7638049FF10</vt:lpwstr>
  </property>
</Properties>
</file>