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Research Walkthrough: Adversarial Robustness Assessment (V2)</w:t>
      </w:r>
    </w:p>
    <w:p>
      <w:pPr>
        <w:spacing w:after="120"/>
        <w:jc w:val="left"/>
      </w:pPr>
      <w:r>
        <w:t xml:space="preserve">This document presents the final, high-rigor adversarial ML audit of the Zero-Trust AI policy engine, incorporating fixes for data leakage, feature constraints, and increased attack budgets.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🚀 Research Objective</w:t>
      </w:r>
    </w:p>
    <w:p>
      <w:pPr>
        <w:spacing w:after="120"/>
        <w:jc w:val="left"/>
      </w:pPr>
      <w:r>
        <w:t xml:space="preserve">To evaluate the resilience of an AI-driven Zero-Trust policy engine against adaptive evasion attacks using the </w:t>
      </w:r>
      <w:r>
        <w:rPr>
          <w:b/>
          <w:bCs/>
        </w:rPr>
        <w:t xml:space="preserve">IBM Adversarial Robustness Toolbox (ART)</w:t>
      </w:r>
      <w:r>
        <w:t xml:space="preserve"> and validate a multi-layered defense-in-depth architecture.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🔬 Scientific Rigor Upgrades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Anti-Leakage Protocol</w:t>
      </w:r>
      <w:r>
        <w:t xml:space="preserve">: Surrogate models trained strictly on </w:t>
      </w:r>
      <w:r>
        <w:rPr>
          <w:rFonts w:ascii="Courier New" w:cs="Courier New" w:eastAsia="Courier New" w:hAnsi="Courier New"/>
          <w:shd w:fill="F1F5F9" w:color="auto" w:val="clear"/>
        </w:rPr>
        <w:t xml:space="preserve">train_set.csv</w:t>
      </w:r>
      <w:r>
        <w:t xml:space="preserve">; evaluation performed on unseen </w:t>
      </w:r>
      <w:r>
        <w:rPr>
          <w:rFonts w:ascii="Courier New" w:cs="Courier New" w:eastAsia="Courier New" w:hAnsi="Courier New"/>
          <w:shd w:fill="F1F5F9" w:color="auto" w:val="clear"/>
        </w:rPr>
        <w:t xml:space="preserve">test_set.csv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Feature Clipping</w:t>
      </w:r>
      <w:r>
        <w:t xml:space="preserve">: All adversarial samples are restricted to realistic telemetry bounds (min/max bounds from distribution).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High-Iteration Budget</w:t>
      </w:r>
      <w:r>
        <w:t xml:space="preserve">: Black-box attacks (HopSkipJump) increased to </w:t>
      </w:r>
      <w:r>
        <w:rPr>
          <w:b/>
          <w:bCs/>
        </w:rPr>
        <w:t xml:space="preserve">50 iterations</w:t>
      </w:r>
      <w:r>
        <w:t xml:space="preserve"> for true stress testing.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Robust Metrics</w:t>
      </w:r>
      <w:r>
        <w:t xml:space="preserve">: Added Robust Accuracy and Perturbation Norm analysis (L2/Linf).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📊 Final Results Table (High Rigor)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84"/>
        <w:gridCol w:w="2035"/>
        <w:gridCol w:w="2170"/>
        <w:gridCol w:w="21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Natural Clean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Black-Box (HSJ)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White-Box (FGM)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Baseline Evasion Rate</w:t>
            </w:r>
          </w:p>
        </w:tc>
        <w:tc>
          <w:p>
            <w:pPr>
              <w:jc w:val="left"/>
            </w:pPr>
            <w:r>
              <w:t xml:space="preserve">23.68%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66.67%</w:t>
            </w:r>
          </w:p>
        </w:tc>
        <w:tc>
          <w:p>
            <w:pPr>
              <w:jc w:val="left"/>
            </w:pPr>
            <w:r>
              <w:t xml:space="preserve">25.00%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Defended Evasion Rate</w:t>
            </w:r>
          </w:p>
        </w:tc>
        <w:tc>
          <w:p>
            <w:pPr>
              <w:jc w:val="left"/>
            </w:pPr>
            <w:r>
              <w:t xml:space="preserve">14.74%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4.17%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16.67%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Robust Accuracy (Defended)</w:t>
            </w:r>
          </w:p>
        </w:tc>
        <w:tc>
          <w:p>
            <w:pPr>
              <w:jc w:val="left"/>
            </w:pPr>
            <w:r>
              <w:t xml:space="preserve">90.13%</w:t>
            </w:r>
          </w:p>
        </w:tc>
        <w:tc>
          <w:p>
            <w:pPr>
              <w:jc w:val="left"/>
            </w:pPr>
            <w:r>
              <w:t xml:space="preserve">23.00%</w:t>
            </w:r>
          </w:p>
        </w:tc>
        <w:tc>
          <w:p>
            <w:pPr>
              <w:jc w:val="left"/>
            </w:pPr>
            <w:r>
              <w:t xml:space="preserve">86.00%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Mean L2 Perturbation</w:t>
            </w:r>
          </w:p>
        </w:tc>
        <w:tc>
          <w:p>
            <w:pPr>
              <w:jc w:val="left"/>
            </w:pPr>
            <w:r>
              <w:t xml:space="preserve">0.00</w:t>
            </w:r>
          </w:p>
        </w:tc>
        <w:tc>
          <w:p>
            <w:pPr>
              <w:jc w:val="left"/>
            </w:pPr>
            <w:r>
              <w:t xml:space="preserve">73.92</w:t>
            </w:r>
          </w:p>
        </w:tc>
        <w:tc>
          <w:p>
            <w:pPr>
              <w:jc w:val="left"/>
            </w:pPr>
            <w:r>
              <w:t xml:space="preserve">0.49</w:t>
            </w:r>
          </w:p>
        </w:tc>
      </w:tr>
    </w:tbl>
    <w:p>
      <w:pPr>
        <w:pStyle w:val="Heading3"/>
        <w:spacing w:after="200"/>
        <w:jc w:val="left"/>
      </w:pPr>
      <w:r>
        <w:t xml:space="preserve">🔍 Key Insight: "Boundary Diffusion"</w:t>
      </w:r>
    </w:p>
    <w:p>
      <w:pPr>
        <w:spacing w:after="120"/>
        <w:jc w:val="left"/>
      </w:pPr>
      <w:r>
        <w:t xml:space="preserve">The hybrid defense layer (RF + Isolation Forest + Thresholding) achieved a </w:t>
      </w:r>
      <w:r>
        <w:rPr>
          <w:b/>
          <w:bCs/>
        </w:rPr>
        <w:t xml:space="preserve">93.7% reduction</w:t>
      </w:r>
      <w:r>
        <w:t xml:space="preserve"> in black-box evasion success. Even under a high-budget 50-iteration attack, the unsupervised anomaly layer effectively "diffused" the decision boundary, making the model significantly harder to evade.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🛡 Layered Security Architecture</w:t>
      </w:r>
    </w:p>
    <w:p>
      <w:pPr>
        <w:spacing w:after="120"/>
        <w:jc w:val="left"/>
      </w:pPr>
      <w:r>
        <w:t xml:space="preserve">The system implements a </w:t>
      </w:r>
      <w:r>
        <w:rPr>
          <w:b/>
          <w:bCs/>
        </w:rPr>
        <w:t xml:space="preserve">Defense-in-Depth</w:t>
      </w:r>
      <w:r>
        <w:t xml:space="preserve"> strategy: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Supervised Layer (Random Forest)</w:t>
      </w:r>
      <w:r>
        <w:t xml:space="preserve">: Standard classification.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Unsupervised Layer (Isolation Forest)</w:t>
      </w:r>
      <w:r>
        <w:t xml:space="preserve">: Trained only on benign traffic to detect "unknown unkowns."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Uncertainty Layer</w:t>
      </w:r>
      <w:r>
        <w:t xml:space="preserve">: Flagging samples with prediction probabilities near 0.5 as "boundary-exploitation attempts."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📂 Security Engineer Project Structure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c:/Adversarial Model training/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logs/                 # Security alerts and SIEM-style logs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models/               # Weights + feature bounds + anti-leakage datasets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src/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adversarial/      # High-rigor evaluation &amp; security logging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detection/        # Core training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simulation/       # Traffic generation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threat_model.md       # Formalized attacker profiling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report.md             # Technical deep-dive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✅ Final Conclusion</w:t>
      </w:r>
    </w:p>
    <w:p>
      <w:pPr>
        <w:spacing w:after="120"/>
        <w:jc w:val="left"/>
      </w:pPr>
      <w:r>
        <w:t xml:space="preserve">By applying security engineering principles to ML evaluation, we transformed a standard classifier into a robust policy control. The system is resilient to high-budget black-box evasion and demonstrates clear, quantifiable security trade-offs—marking it as a core asset for any Zero-Trust AI infrastructure.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2026-02-12T13:51:24.735Z</dcterms:created>
  <dcterms:modified xsi:type="dcterms:W3CDTF">2026-02-12T13:51:24.735Z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