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Pathways dashboard contractor handoff</w:t>
      </w:r>
    </w:p>
    <w:p>
      <w:r>
        <w:t>Implementation brief prepared for Animal Advocacy Africa | 23 October 2026</w:t>
      </w:r>
    </w:p>
    <w:p>
      <w:r>
        <w:t>Purpose. Maintain the working staff dashboard and take its verified demo integrations through production acceptance. AAA should confirm an operational owner and backup. Assessment ingestion now works; completing an enrolled learner lesson remains blocked by the instruction to keep the demo course unpublished.</w:t>
      </w:r>
    </w:p>
    <w:p>
      <w:r>
        <w:t>Current result. Six fixed fictional advocates remain separate from six captured assessment attempts. Two native form submissions for Nuru retain scores of 0/2 and 2/2. Two Thinkific learners are enrolled; their verified 0% progress is saved in Airtable and displayed in the dashboard. Quiz API access works but returns no stored submissions for those learners.</w:t>
      </w:r>
    </w:p>
    <w:p>
      <w:pPr>
        <w:pStyle w:val="Heading2"/>
      </w:pPr>
      <w:r>
        <w:t>Verified connections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1512"/>
        <w:gridCol w:w="4464"/>
        <w:gridCol w:w="4104"/>
      </w:tblGrid>
      <w:tr>
        <w:trPr>
          <w:tblHeader/>
          <w:cantSplit/>
        </w:trPr>
        <w:tc>
          <w:tcPr>
            <w:tcW w:type="dxa" w:w="1512"/>
            <w:vAlign w:val="center"/>
            <w:tcMar>
              <w:top w:w="85" w:type="dxa"/>
              <w:left w:w="85" w:type="dxa"/>
              <w:bottom w:w="85" w:type="dxa"/>
              <w:right w:w="85" w:type="dxa"/>
            </w:tcMar>
            <w:shd w:fill="EDEDED"/>
          </w:tcPr>
          <w:p>
            <w:pPr>
              <w:spacing w:after="60" w:line="245" w:lineRule="auto"/>
            </w:pPr>
            <w:r>
              <w:rPr>
                <w:b/>
                <w:sz w:val="20"/>
              </w:rPr>
              <w:t>Component</w:t>
            </w:r>
          </w:p>
        </w:tc>
        <w:tc>
          <w:tcPr>
            <w:tcW w:type="dxa" w:w="4464"/>
            <w:vAlign w:val="center"/>
            <w:tcMar>
              <w:top w:w="85" w:type="dxa"/>
              <w:left w:w="85" w:type="dxa"/>
              <w:bottom w:w="85" w:type="dxa"/>
              <w:right w:w="85" w:type="dxa"/>
            </w:tcMar>
            <w:shd w:fill="EDEDED"/>
          </w:tcPr>
          <w:p>
            <w:pPr>
              <w:spacing w:after="60" w:line="245" w:lineRule="auto"/>
            </w:pPr>
            <w:r>
              <w:rPr>
                <w:b/>
                <w:sz w:val="20"/>
              </w:rPr>
              <w:t>Observed on 23 October 2026</w:t>
            </w:r>
          </w:p>
        </w:tc>
        <w:tc>
          <w:tcPr>
            <w:tcW w:type="dxa" w:w="4104"/>
            <w:vAlign w:val="center"/>
            <w:tcMar>
              <w:top w:w="85" w:type="dxa"/>
              <w:left w:w="85" w:type="dxa"/>
              <w:bottom w:w="85" w:type="dxa"/>
              <w:right w:w="85" w:type="dxa"/>
            </w:tcMar>
            <w:shd w:fill="EDEDED"/>
          </w:tcPr>
          <w:p>
            <w:pPr>
              <w:spacing w:after="60" w:line="245" w:lineRule="auto"/>
            </w:pPr>
            <w:r>
              <w:rPr>
                <w:b/>
                <w:sz w:val="20"/>
              </w:rPr>
              <w:t>Meaning for the build</w:t>
            </w:r>
          </w:p>
        </w:tc>
      </w:tr>
      <w:tr>
        <w:trPr>
          <w:cantSplit/>
        </w:trPr>
        <w:tc>
          <w:tcPr>
            <w:tcW w:type="dxa" w:w="1512"/>
            <w:vAlign w:val="center"/>
            <w:tcMar>
              <w:top w:w="85" w:type="dxa"/>
              <w:left w:w="85" w:type="dxa"/>
              <w:bottom w:w="85" w:type="dxa"/>
              <w:right w:w="85" w:type="dxa"/>
            </w:tcMar>
          </w:tcPr>
          <w:p>
            <w:r>
              <w:t>Airtable</w:t>
            </w:r>
          </w:p>
        </w:tc>
        <w:tc>
          <w:tcPr>
            <w:tcW w:type="dxa" w:w="4464"/>
            <w:vAlign w:val="center"/>
            <w:tcMar>
              <w:top w:w="85" w:type="dxa"/>
              <w:left w:w="85" w:type="dxa"/>
              <w:bottom w:w="85" w:type="dxa"/>
              <w:right w:w="85" w:type="dxa"/>
            </w:tcMar>
          </w:tcPr>
          <w:p>
            <w:r>
              <w:t>Six fixed identities and six immutable attempt mirrors. API record reads and writes work.</w:t>
            </w:r>
          </w:p>
        </w:tc>
        <w:tc>
          <w:tcPr>
            <w:tcW w:type="dxa" w:w="4104"/>
            <w:vAlign w:val="center"/>
            <w:tcMar>
              <w:top w:w="85" w:type="dxa"/>
              <w:left w:w="85" w:type="dxa"/>
              <w:bottom w:w="85" w:type="dxa"/>
              <w:right w:w="85" w:type="dxa"/>
            </w:tcMar>
          </w:tcPr>
          <w:p>
            <w:r>
              <w:t>The token lacks schema-write permission; demo fields and table were created through the signed-in UI.</w:t>
            </w:r>
          </w:p>
        </w:tc>
      </w:tr>
      <w:tr>
        <w:trPr>
          <w:cantSplit/>
        </w:trPr>
        <w:tc>
          <w:tcPr>
            <w:tcW w:type="dxa" w:w="1512"/>
            <w:vAlign w:val="center"/>
            <w:tcMar>
              <w:top w:w="85" w:type="dxa"/>
              <w:left w:w="85" w:type="dxa"/>
              <w:bottom w:w="85" w:type="dxa"/>
              <w:right w:w="85" w:type="dxa"/>
            </w:tcMar>
          </w:tcPr>
          <w:p>
            <w:r>
              <w:t>Thinkific</w:t>
            </w:r>
          </w:p>
        </w:tc>
        <w:tc>
          <w:tcPr>
            <w:tcW w:type="dxa" w:w="4464"/>
            <w:vAlign w:val="center"/>
            <w:tcMar>
              <w:top w:w="85" w:type="dxa"/>
              <w:left w:w="85" w:type="dxa"/>
              <w:bottom w:w="85" w:type="dxa"/>
              <w:right w:w="85" w:type="dxa"/>
            </w:tcMar>
          </w:tcPr>
          <w:p>
            <w:r>
              <w:t>Two real API enrolments, both 0%, no start date; course remains Draft.</w:t>
            </w:r>
          </w:p>
        </w:tc>
        <w:tc>
          <w:tcPr>
            <w:tcW w:type="dxa" w:w="4104"/>
            <w:vAlign w:val="center"/>
            <w:tcMar>
              <w:top w:w="85" w:type="dxa"/>
              <w:left w:w="85" w:type="dxa"/>
              <w:bottom w:w="85" w:type="dxa"/>
              <w:right w:w="85" w:type="dxa"/>
            </w:tcMar>
          </w:tcPr>
          <w:p>
            <w:r>
              <w:t>Complete the activity acceptance test only after publication approval.</w:t>
            </w:r>
          </w:p>
        </w:tc>
      </w:tr>
      <w:tr>
        <w:trPr>
          <w:cantSplit/>
        </w:trPr>
        <w:tc>
          <w:tcPr>
            <w:tcW w:type="dxa" w:w="1512"/>
            <w:vAlign w:val="center"/>
            <w:tcMar>
              <w:top w:w="85" w:type="dxa"/>
              <w:left w:w="85" w:type="dxa"/>
              <w:bottom w:w="85" w:type="dxa"/>
              <w:right w:w="85" w:type="dxa"/>
            </w:tcMar>
          </w:tcPr>
          <w:p>
            <w:r>
              <w:t>Private Airtable form</w:t>
            </w:r>
          </w:p>
        </w:tc>
        <w:tc>
          <w:tcPr>
            <w:tcW w:type="dxa" w:w="4464"/>
            <w:vAlign w:val="center"/>
            <w:tcMar>
              <w:top w:w="85" w:type="dxa"/>
              <w:left w:w="85" w:type="dxa"/>
              <w:bottom w:w="85" w:type="dxa"/>
              <w:right w:w="85" w:type="dxa"/>
            </w:tcMar>
          </w:tcPr>
          <w:p>
            <w:r>
              <w:t>Two native Nuru submissions retain separate 0/2 and 2/2 attempts.</w:t>
            </w:r>
          </w:p>
        </w:tc>
        <w:tc>
          <w:tcPr>
            <w:tcW w:type="dxa" w:w="4104"/>
            <w:vAlign w:val="center"/>
            <w:tcMar>
              <w:top w:w="85" w:type="dxa"/>
              <w:left w:w="85" w:type="dxa"/>
              <w:bottom w:w="85" w:type="dxa"/>
              <w:right w:w="85" w:type="dxa"/>
            </w:tcMar>
          </w:tcPr>
          <w:p>
            <w:r>
              <w:t>Use this existing form for the demo. Identity is claimed, not authenticated.</w:t>
            </w:r>
          </w:p>
        </w:tc>
      </w:tr>
      <w:tr>
        <w:trPr>
          <w:cantSplit/>
        </w:trPr>
        <w:tc>
          <w:tcPr>
            <w:tcW w:type="dxa" w:w="1512"/>
            <w:vAlign w:val="center"/>
            <w:tcMar>
              <w:top w:w="85" w:type="dxa"/>
              <w:left w:w="85" w:type="dxa"/>
              <w:bottom w:w="85" w:type="dxa"/>
              <w:right w:w="85" w:type="dxa"/>
            </w:tcMar>
          </w:tcPr>
          <w:p>
            <w:r>
              <w:t>Native quiz results</w:t>
            </w:r>
          </w:p>
        </w:tc>
        <w:tc>
          <w:tcPr>
            <w:tcW w:type="dxa" w:w="4464"/>
            <w:vAlign w:val="center"/>
            <w:tcMar>
              <w:top w:w="85" w:type="dxa"/>
              <w:left w:w="85" w:type="dxa"/>
              <w:bottom w:w="85" w:type="dxa"/>
              <w:right w:w="85" w:type="dxa"/>
            </w:tcMar>
          </w:tcPr>
          <w:p>
            <w:r>
              <w:t>Named GraphQL query succeeds with zero stored submissions for mapped learners.</w:t>
            </w:r>
          </w:p>
        </w:tc>
        <w:tc>
          <w:tcPr>
            <w:tcW w:type="dxa" w:w="4104"/>
            <w:vAlign w:val="center"/>
            <w:tcMar>
              <w:top w:w="85" w:type="dxa"/>
              <w:left w:w="85" w:type="dxa"/>
              <w:bottom w:w="85" w:type="dxa"/>
              <w:right w:w="85" w:type="dxa"/>
            </w:tcMar>
          </w:tcPr>
          <w:p>
            <w:r>
              <w:t>Do not infer scores from enrolment progress or admin previews.</w:t>
            </w:r>
          </w:p>
        </w:tc>
      </w:tr>
    </w:tbl>
    <w:p>
      <w:pPr>
        <w:spacing w:after="0"/>
      </w:pPr>
    </w:p>
    <w:p>
      <w:pPr>
        <w:pStyle w:val="Heading2"/>
      </w:pPr>
      <w:r>
        <w:t>What the prototype demonstrates</w:t>
      </w:r>
    </w:p>
    <w:p>
      <w:r>
        <w:t>Overview metrics, searchable and filterable advocates, individual records, an explicit follow-up queue, programme summaries, CSV export, connection evidence and handoff downloads. The layout uses the public website’s purple, teal and olive palette with serif headings. It is a proposed staff workspace, not an approved AAA product design.</w:t>
      </w:r>
    </w:p>
    <w:p>
      <w:r/>
      <w:r>
        <w:rPr>
          <w:b/>
        </w:rPr>
        <w:t>Scope boundary.</w:t>
      </w:r>
      <w:r>
        <w:t xml:space="preserve"> It runs on localhost without production authentication. Only explicitly synthetic Airtable records are eligible. No real participant data, automatic eligibility decisions or emails are used. The older six-section learner preview remains separate; it does not replace Thinkific.</w:t>
      </w:r>
    </w:p>
    <w:p>
      <w:r>
        <w:br w:type="page"/>
      </w:r>
    </w:p>
    <w:p>
      <w:pPr>
        <w:pStyle w:val="Heading1"/>
      </w:pPr>
      <w:r>
        <w:t>Architecture and data contract</w:t>
      </w:r>
    </w:p>
    <w:p>
      <w:r>
        <w:t>Current implementation. The loopback server reads six registered advocate IDs from Airtable. Thinkific REST reads the fixed demo course, users and enrolments; the dashboard saves source percentages and dates in Thinkific progress JSON. GraphQL independently retrieves available native quiz submissions filtered by demo course and fictional users. Four advocates retain labelled synthetic progress.</w:t>
      </w:r>
    </w:p>
    <w:p>
      <w:r>
        <w:t>Assessment flow. The existing private Airtable form creates a new raw row. An explicit source refresh ingests it into a transactional SQLite journal and mirrors an immutable envelope to DEMO Assessment Attempts. The dashboard derives each advocate’s latest assessment and shows every matched attempt. Google Forms adds no necessary capability to this demo.</w:t>
      </w:r>
    </w:p>
    <w:p>
      <w:pPr>
        <w:pStyle w:val="Heading2"/>
      </w:pPr>
      <w:r>
        <w:t>Source fields already available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3240"/>
        <w:gridCol w:w="6840"/>
      </w:tblGrid>
      <w:tr>
        <w:trPr>
          <w:tblHeader/>
          <w:cantSplit/>
        </w:trPr>
        <w:tc>
          <w:tcPr>
            <w:tcW w:type="dxa" w:w="3240"/>
            <w:vAlign w:val="center"/>
            <w:tcMar>
              <w:top w:w="85" w:type="dxa"/>
              <w:left w:w="85" w:type="dxa"/>
              <w:bottom w:w="85" w:type="dxa"/>
              <w:right w:w="85" w:type="dxa"/>
            </w:tcMar>
            <w:shd w:fill="EDEDED"/>
          </w:tcPr>
          <w:p>
            <w:pPr>
              <w:spacing w:after="60" w:line="245" w:lineRule="auto"/>
            </w:pPr>
            <w:r>
              <w:rPr>
                <w:b/>
                <w:sz w:val="20"/>
              </w:rPr>
              <w:t>Airtable fields</w:t>
            </w:r>
          </w:p>
        </w:tc>
        <w:tc>
          <w:tcPr>
            <w:tcW w:type="dxa" w:w="6840"/>
            <w:vAlign w:val="center"/>
            <w:tcMar>
              <w:top w:w="85" w:type="dxa"/>
              <w:left w:w="85" w:type="dxa"/>
              <w:bottom w:w="85" w:type="dxa"/>
              <w:right w:w="85" w:type="dxa"/>
            </w:tcMar>
            <w:shd w:fill="EDEDED"/>
          </w:tcPr>
          <w:p>
            <w:pPr>
              <w:spacing w:after="60" w:line="245" w:lineRule="auto"/>
            </w:pPr>
            <w:r>
              <w:rPr>
                <w:b/>
                <w:sz w:val="20"/>
              </w:rPr>
              <w:t>Use and limits</w:t>
            </w:r>
          </w:p>
        </w:tc>
      </w:tr>
      <w:tr>
        <w:trPr>
          <w:cantSplit/>
        </w:trPr>
        <w:tc>
          <w:tcPr>
            <w:tcW w:type="dxa" w:w="3240"/>
            <w:vAlign w:val="center"/>
            <w:tcMar>
              <w:top w:w="85" w:type="dxa"/>
              <w:left w:w="85" w:type="dxa"/>
              <w:bottom w:w="85" w:type="dxa"/>
              <w:right w:w="85" w:type="dxa"/>
            </w:tcMar>
          </w:tcPr>
          <w:p>
            <w:pPr>
              <w:spacing w:after="60" w:line="245" w:lineRule="auto"/>
            </w:pPr>
            <w:r>
              <w:rPr>
                <w:b w:val="0"/>
                <w:sz w:val="20"/>
              </w:rPr>
              <w:t>Demo ID and record ID</w:t>
            </w:r>
          </w:p>
        </w:tc>
        <w:tc>
          <w:tcPr>
            <w:tcW w:type="dxa" w:w="6840"/>
            <w:vAlign w:val="center"/>
            <w:tcMar>
              <w:top w:w="85" w:type="dxa"/>
              <w:left w:w="85" w:type="dxa"/>
              <w:bottom w:w="85" w:type="dxa"/>
              <w:right w:w="85" w:type="dxa"/>
            </w:tcMar>
          </w:tcPr>
          <w:p>
            <w:pPr>
              <w:spacing w:after="60" w:line="245" w:lineRule="auto"/>
            </w:pPr>
            <w:r>
              <w:rPr>
                <w:b w:val="0"/>
                <w:sz w:val="20"/>
              </w:rPr>
              <w:t>Stable identity for this demo only. Example AAA-DEMO-006.</w:t>
            </w:r>
          </w:p>
        </w:tc>
      </w:tr>
      <w:tr>
        <w:trPr>
          <w:cantSplit/>
        </w:trPr>
        <w:tc>
          <w:tcPr>
            <w:tcW w:type="dxa" w:w="3240"/>
            <w:vAlign w:val="center"/>
            <w:tcMar>
              <w:top w:w="85" w:type="dxa"/>
              <w:left w:w="85" w:type="dxa"/>
              <w:bottom w:w="85" w:type="dxa"/>
              <w:right w:w="85" w:type="dxa"/>
            </w:tcMar>
          </w:tcPr>
          <w:p>
            <w:pPr>
              <w:spacing w:after="60" w:line="245" w:lineRule="auto"/>
            </w:pPr>
            <w:r>
              <w:rPr>
                <w:b w:val="0"/>
                <w:sz w:val="20"/>
              </w:rPr>
              <w:t>Participant Email Country</w:t>
            </w:r>
          </w:p>
        </w:tc>
        <w:tc>
          <w:tcPr>
            <w:tcW w:type="dxa" w:w="6840"/>
            <w:vAlign w:val="center"/>
            <w:tcMar>
              <w:top w:w="85" w:type="dxa"/>
              <w:left w:w="85" w:type="dxa"/>
              <w:bottom w:w="85" w:type="dxa"/>
              <w:right w:w="85" w:type="dxa"/>
            </w:tcMar>
          </w:tcPr>
          <w:p>
            <w:pPr>
              <w:spacing w:after="60" w:line="245" w:lineRule="auto"/>
            </w:pPr>
            <w:r>
              <w:rPr>
                <w:b w:val="0"/>
                <w:sz w:val="20"/>
              </w:rPr>
              <w:t>Synthetic profile; all eligible addresses end in example.test.</w:t>
            </w:r>
          </w:p>
        </w:tc>
      </w:tr>
      <w:tr>
        <w:trPr>
          <w:cantSplit/>
        </w:trPr>
        <w:tc>
          <w:tcPr>
            <w:tcW w:type="dxa" w:w="3240"/>
            <w:vAlign w:val="center"/>
            <w:tcMar>
              <w:top w:w="85" w:type="dxa"/>
              <w:left w:w="85" w:type="dxa"/>
              <w:bottom w:w="85" w:type="dxa"/>
              <w:right w:w="85" w:type="dxa"/>
            </w:tcMar>
          </w:tcPr>
          <w:p>
            <w:pPr>
              <w:spacing w:after="60" w:line="245" w:lineRule="auto"/>
            </w:pPr>
            <w:r>
              <w:rPr>
                <w:b w:val="0"/>
                <w:sz w:val="20"/>
              </w:rPr>
              <w:t>Stage and Next action</w:t>
            </w:r>
          </w:p>
        </w:tc>
        <w:tc>
          <w:tcPr>
            <w:tcW w:type="dxa" w:w="6840"/>
            <w:vAlign w:val="center"/>
            <w:tcMar>
              <w:top w:w="85" w:type="dxa"/>
              <w:left w:w="85" w:type="dxa"/>
              <w:bottom w:w="85" w:type="dxa"/>
              <w:right w:w="85" w:type="dxa"/>
            </w:tcMar>
          </w:tcPr>
          <w:p>
            <w:pPr>
              <w:spacing w:after="60" w:line="245" w:lineRule="auto"/>
            </w:pPr>
            <w:r>
              <w:rPr>
                <w:b w:val="0"/>
                <w:sz w:val="20"/>
              </w:rPr>
              <w:t>Human-managed queue and next action; editable from the dashboard.</w:t>
            </w:r>
          </w:p>
        </w:tc>
      </w:tr>
      <w:tr>
        <w:trPr>
          <w:cantSplit/>
        </w:trPr>
        <w:tc>
          <w:tcPr>
            <w:tcW w:type="dxa" w:w="3240"/>
            <w:vAlign w:val="center"/>
            <w:tcMar>
              <w:top w:w="85" w:type="dxa"/>
              <w:left w:w="85" w:type="dxa"/>
              <w:bottom w:w="85" w:type="dxa"/>
              <w:right w:w="85" w:type="dxa"/>
            </w:tcMar>
          </w:tcPr>
          <w:p>
            <w:pPr>
              <w:spacing w:after="60" w:line="245" w:lineRule="auto"/>
            </w:pPr>
            <w:r>
              <w:rPr>
                <w:b w:val="0"/>
                <w:sz w:val="20"/>
              </w:rPr>
              <w:t>Completed lessons Total lessons</w:t>
            </w:r>
          </w:p>
        </w:tc>
        <w:tc>
          <w:tcPr>
            <w:tcW w:type="dxa" w:w="6840"/>
            <w:vAlign w:val="center"/>
            <w:tcMar>
              <w:top w:w="85" w:type="dxa"/>
              <w:left w:w="85" w:type="dxa"/>
              <w:bottom w:w="85" w:type="dxa"/>
              <w:right w:w="85" w:type="dxa"/>
            </w:tcMar>
          </w:tcPr>
          <w:p>
            <w:r>
              <w:t>Original seed counts remain synthetic. Thinkific progress JSON stores verified source percent, IDs, dates and available native quiz data.</w:t>
            </w:r>
          </w:p>
        </w:tc>
      </w:tr>
      <w:tr>
        <w:trPr>
          <w:cantSplit/>
        </w:trPr>
        <w:tc>
          <w:tcPr>
            <w:tcW w:type="dxa" w:w="3240"/>
            <w:vAlign w:val="center"/>
            <w:tcMar>
              <w:top w:w="85" w:type="dxa"/>
              <w:left w:w="85" w:type="dxa"/>
              <w:bottom w:w="85" w:type="dxa"/>
              <w:right w:w="85" w:type="dxa"/>
            </w:tcMar>
          </w:tcPr>
          <w:p>
            <w:pPr>
              <w:spacing w:after="60" w:line="245" w:lineRule="auto"/>
            </w:pPr>
            <w:r>
              <w:rPr>
                <w:b w:val="0"/>
                <w:sz w:val="20"/>
              </w:rPr>
              <w:t>Q1 Q2 Demo score out of 2</w:t>
            </w:r>
          </w:p>
        </w:tc>
        <w:tc>
          <w:tcPr>
            <w:tcW w:type="dxa" w:w="6840"/>
            <w:vAlign w:val="center"/>
            <w:tcMar>
              <w:top w:w="85" w:type="dxa"/>
              <w:left w:w="85" w:type="dxa"/>
              <w:bottom w:w="85" w:type="dxa"/>
              <w:right w:w="85" w:type="dxa"/>
            </w:tcMar>
          </w:tcPr>
          <w:p>
            <w:r>
              <w:t>Raw form answers and Airtable score. Attempts retain original answers and calculated rubric score; zero differs from missing.</w:t>
            </w:r>
          </w:p>
        </w:tc>
      </w:tr>
      <w:tr>
        <w:trPr>
          <w:cantSplit/>
        </w:trPr>
        <w:tc>
          <w:tcPr>
            <w:tcW w:type="dxa" w:w="3240"/>
            <w:vAlign w:val="center"/>
            <w:tcMar>
              <w:top w:w="85" w:type="dxa"/>
              <w:left w:w="85" w:type="dxa"/>
              <w:bottom w:w="85" w:type="dxa"/>
              <w:right w:w="85" w:type="dxa"/>
            </w:tcMar>
          </w:tcPr>
          <w:p>
            <w:pPr>
              <w:spacing w:after="60" w:line="245" w:lineRule="auto"/>
            </w:pPr>
            <w:r>
              <w:rPr>
                <w:b w:val="0"/>
                <w:sz w:val="20"/>
              </w:rPr>
              <w:t>Reflection Data provenance</w:t>
            </w:r>
          </w:p>
        </w:tc>
        <w:tc>
          <w:tcPr>
            <w:tcW w:type="dxa" w:w="6840"/>
            <w:vAlign w:val="center"/>
            <w:tcMar>
              <w:top w:w="85" w:type="dxa"/>
              <w:left w:w="85" w:type="dxa"/>
              <w:bottom w:w="85" w:type="dxa"/>
              <w:right w:w="85" w:type="dxa"/>
            </w:tcMar>
          </w:tcPr>
          <w:p>
            <w:pPr>
              <w:spacing w:after="60" w:line="245" w:lineRule="auto"/>
            </w:pPr>
            <w:r>
              <w:rPr>
                <w:b w:val="0"/>
                <w:sz w:val="20"/>
              </w:rPr>
              <w:t>Sample reflection and origin label; not an official assessment or validated rubric.</w:t>
            </w:r>
          </w:p>
        </w:tc>
      </w:tr>
    </w:tbl>
    <w:p>
      <w:pPr>
        <w:spacing w:after="0"/>
      </w:pPr>
    </w:p>
    <w:p>
      <w:pPr>
        <w:pStyle w:val="Heading2"/>
      </w:pPr>
      <w:r>
        <w:t>Production records to define</w:t>
      </w:r>
    </w:p>
    <w:p>
      <w:r>
        <w:t>Use separate advocate and attempt records. The registry fixes six Airtable record IDs and two Thinkific user/enrolment mappings. Each attempt uses airtable plus source record ID as its key. Its envelope contains claimed identifiers, answers, reflection, score or null, assessment and rubric versions, source creation time, captured time, match decision and advocate record ID.</w:t>
      </w:r>
    </w:p>
    <w:p>
      <w:r>
        <w:t>A repeat source delivery reuses the attempt. A new source row remains a separate retake even with identical answers. Source edits after capture enter the review queue without changing the original. Unknown IDs and disagreeing names or emails remain unlinked. Form ID, Demo ID and exact name are claims; even a matched fictional attempt is not authenticated learner identity.</w:t>
      </w:r>
    </w:p>
    <w:p>
      <w:pPr>
        <w:pStyle w:val="Heading2"/>
      </w:pPr>
      <w:r>
        <w:t>Field authority</w:t>
      </w:r>
    </w:p>
    <w:p>
      <w:r>
        <w:t>Field authority. Thinkific owns verified enrolment percentages, start/completion dates and available native quiz results. Original seeded lesson counts are retained as a baseline and never converted into claimed real lesson counts. Staff retain authority over Stage and Next action. Assessment ingestion does not change those fields or send messages.</w:t>
      </w:r>
    </w:p>
    <w:p>
      <w:r>
        <w:br w:type="page"/>
      </w:r>
    </w:p>
    <w:p>
      <w:pPr>
        <w:pStyle w:val="Heading1"/>
      </w:pPr>
      <w:r>
        <w:t>Contractor milestones and acceptance</w:t>
      </w:r>
    </w:p>
    <w:p>
      <w:pPr>
        <w:pStyle w:val="Heading2"/>
      </w:pPr>
      <w:r>
        <w:t>Milestone one Confirm the workflow</w:t>
      </w:r>
    </w:p>
    <w:p>
      <w:r>
        <w:t>Confirm the production workflow. Review the actual course, private form and operational process with AAA. Confirm owner and backup, approved assessment wording and rubric, source IDs, access, correction rules and acceptance targets. The current form remains collaborator-only and cannot serve external learners without a separate access decision.</w:t>
      </w:r>
    </w:p>
    <w:p>
      <w:pPr>
        <w:pStyle w:val="Heading2"/>
      </w:pPr>
      <w:r>
        <w:t>Milestone two Prove one assessment flow</w:t>
      </w:r>
    </w:p>
    <w:p>
      <w:r>
        <w:t>Assessment milestone verified in the demo. The native form attached Nuru’s first attempt and retake to the registered advocate; both survive independently in Airtable and the dashboard. HTTP replay creates no duplicate; changed content with the same retry key returns 409. Three unmatched or conflicting claims remain visible for review. Production still needs verified learner identity and a resolution workflow.</w:t>
      </w:r>
    </w:p>
    <w:p>
      <w:pPr>
        <w:pStyle w:val="Heading2"/>
      </w:pPr>
      <w:r>
        <w:t>Milestone three Verify Thinkific progress</w:t>
      </w:r>
    </w:p>
    <w:p>
      <w:r>
        <w:t>Thinkific milestone partly verified. Fictional users 260700368 and 260700371 have enrolments 894392343 and 894392352 in demo course 3558004. Both report 0% with no started_at. The course overview confirms Draft and two enrolments. GraphQL quizSubmissions is permitted and returns none. Actual enrolled-learner lesson activity and a stored quiz attempt require publication approval; admin preview scores do not satisfy this test.</w:t>
      </w:r>
    </w:p>
    <w:p>
      <w:pPr>
        <w:pStyle w:val="Heading2"/>
      </w:pPr>
      <w:r>
        <w:t>Milestone four Deploy and transfer operation</w:t>
      </w:r>
    </w:p>
    <w:p>
      <w:r>
        <w:t>Add staff sign-in and roles, protected secrets, scheduled processing, alerts, backups, export and restore, correction/deletion procedures and a maintenance agreement. Enable messaging only after separate acceptance of templates and suppression rules. AAA owns accounts and billing; the contractor transfers the runbook and admin access.</w:t>
      </w:r>
    </w:p>
    <w:p>
      <w:pPr>
        <w:pStyle w:val="Heading2"/>
      </w:pPr>
      <w:r>
        <w:t>Required acceptance cases</w:t>
      </w:r>
    </w:p>
    <w:p>
      <w:pPr>
        <w:pStyle w:val="ListBullet"/>
      </w:pPr>
      <w:r>
        <w:t>A normal submission appears under exactly the intended advocate with its original source row and time; retakes remain separate.</w:t>
      </w:r>
    </w:p>
    <w:p>
      <w:pPr>
        <w:pStyle w:val="ListBullet"/>
      </w:pPr>
      <w:r>
        <w:t>Repeat delivery does not duplicate an attempt or reminder; a different retake remains a separate attempt.</w:t>
      </w:r>
    </w:p>
    <w:p>
      <w:pPr>
        <w:pStyle w:val="ListBullet"/>
      </w:pPr>
      <w:r>
        <w:t>A zero-score submission is present; a missing answer is distinguishable from zero.</w:t>
      </w:r>
    </w:p>
    <w:p>
      <w:pPr>
        <w:pStyle w:val="ListBullet"/>
      </w:pPr>
      <w:r>
        <w:t>A duplicate or changed email, unknown source ID and ambiguous match enter review without an automatic merge.</w:t>
      </w:r>
    </w:p>
    <w:p>
      <w:pPr>
        <w:pStyle w:val="ListBullet"/>
      </w:pPr>
      <w:r>
        <w:t>Bounded retries cover rate limits and selected service failures. A durable pending mirror can be retried; production alerts and unattended scheduling remain required.</w:t>
      </w:r>
    </w:p>
    <w:p>
      <w:pPr>
        <w:pStyle w:val="ListBullet"/>
      </w:pPr>
      <w:r>
        <w:t>Completion or a paused preference suppresses inappropriate reminders at send time.</w:t>
      </w:r>
    </w:p>
    <w:p>
      <w:pPr>
        <w:pStyle w:val="ListBullet"/>
      </w:pPr>
      <w:r>
        <w:t>Role boundaries prevent one learner from accessing another record; staff permissions match the approved access map.</w:t>
      </w:r>
    </w:p>
    <w:p>
      <w:pPr>
        <w:pStyle w:val="ListBullet"/>
      </w:pPr>
      <w:r>
        <w:t>The owner and backup each demonstrate normal operation, an error case, export and restore without the contractor.</w:t>
      </w:r>
    </w:p>
    <w:p>
      <w:r>
        <w:br w:type="page"/>
      </w:r>
    </w:p>
    <w:p>
      <w:pPr>
        <w:pStyle w:val="Heading1"/>
      </w:pPr>
      <w:r>
        <w:t>Running the prototype and maintaining the service</w:t>
      </w:r>
    </w:p>
    <w:p>
      <w:pPr>
        <w:pStyle w:val="Heading2"/>
      </w:pPr>
      <w:r>
        <w:t>Local start</w:t>
      </w:r>
    </w:p>
    <w:p>
      <w:r>
        <w:t>From the project root, use the commands below with Python 3.11 or later on macOS or Linux. Port 8767 is the updated preview; the older preview on 8766 was left running. The server binds only to 127.0.0.1.</w:t>
      </w:r>
    </w:p>
    <w:p>
      <w:r>
        <w:rPr>
          <w:rFonts w:ascii="Courier New" w:hAnsi="Courier New"/>
          <w:sz w:val="20"/>
        </w:rPr>
        <w:t>cd pathways-v1</w:t>
      </w:r>
    </w:p>
    <w:p>
      <w:r>
        <w:rPr>
          <w:rFonts w:ascii="Courier New" w:hAnsi="Courier New"/>
          <w:sz w:val="20"/>
        </w:rPr>
        <w:t>python3 integrations.py sync</w:t>
      </w:r>
    </w:p>
    <w:p>
      <w:r>
        <w:rPr>
          <w:rFonts w:ascii="Courier New" w:hAnsi="Courier New"/>
        </w:rPr>
        <w:t>python3 server.py --port 8767</w:t>
      </w:r>
    </w:p>
    <w:p>
      <w:r>
        <w:t>Open http://127.0.0.1:8767. Use Refresh sources after a native form submission. There is no unattended polling. Failed refreshes retain previous verified data with stale or connection-error labels. Details and recovery commands are in pathways-v1/README.md.</w:t>
      </w:r>
    </w:p>
    <w:p>
      <w:pPr>
        <w:pStyle w:val="Heading2"/>
      </w:pPr>
      <w:r>
        <w:t>Credential and file map</w:t>
      </w:r>
    </w:p>
    <w:p>
      <w:r>
        <w:t>Credentials are loaded server-side from the existing .secrets/airtable.env and .secrets/thinkific.env or environment variables. Never copy credentials into the browser, source control or the handoff. Production needs a managed secret store and documented rotation.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4464"/>
        <w:gridCol w:w="5616"/>
      </w:tblGrid>
      <w:tr>
        <w:trPr>
          <w:tblHeader/>
          <w:cantSplit/>
        </w:trPr>
        <w:tc>
          <w:tcPr>
            <w:tcW w:type="dxa" w:w="4464"/>
            <w:vAlign w:val="center"/>
            <w:tcMar>
              <w:top w:w="85" w:type="dxa"/>
              <w:left w:w="85" w:type="dxa"/>
              <w:bottom w:w="85" w:type="dxa"/>
              <w:right w:w="85" w:type="dxa"/>
            </w:tcMar>
            <w:shd w:fill="EDEDED"/>
          </w:tcPr>
          <w:p>
            <w:pPr>
              <w:spacing w:after="60" w:line="245" w:lineRule="auto"/>
            </w:pPr>
            <w:r>
              <w:rPr>
                <w:b/>
                <w:sz w:val="20"/>
              </w:rPr>
              <w:t>File or folder</w:t>
            </w:r>
          </w:p>
        </w:tc>
        <w:tc>
          <w:tcPr>
            <w:tcW w:type="dxa" w:w="5616"/>
            <w:vAlign w:val="center"/>
            <w:tcMar>
              <w:top w:w="85" w:type="dxa"/>
              <w:left w:w="85" w:type="dxa"/>
              <w:bottom w:w="85" w:type="dxa"/>
              <w:right w:w="85" w:type="dxa"/>
            </w:tcMar>
            <w:shd w:fill="EDEDED"/>
          </w:tcPr>
          <w:p>
            <w:pPr>
              <w:spacing w:after="60" w:line="245" w:lineRule="auto"/>
            </w:pPr>
            <w:r>
              <w:rPr>
                <w:b/>
                <w:sz w:val="20"/>
              </w:rPr>
              <w:t>Purpose</w:t>
            </w:r>
          </w:p>
        </w:tc>
      </w:tr>
      <w:tr>
        <w:trPr>
          <w:cantSplit/>
        </w:trPr>
        <w:tc>
          <w:tcPr>
            <w:tcW w:type="dxa" w:w="4464"/>
            <w:vAlign w:val="center"/>
            <w:tcMar>
              <w:top w:w="85" w:type="dxa"/>
              <w:left w:w="85" w:type="dxa"/>
              <w:bottom w:w="85" w:type="dxa"/>
              <w:right w:w="85" w:type="dxa"/>
            </w:tcMar>
          </w:tcPr>
          <w:p>
            <w:pPr>
              <w:spacing w:after="60" w:line="245" w:lineRule="auto"/>
            </w:pPr>
            <w:r>
              <w:rPr>
                <w:b w:val="0"/>
                <w:sz w:val="20"/>
              </w:rPr>
              <w:t>pathways-v1/server.py</w:t>
            </w:r>
          </w:p>
        </w:tc>
        <w:tc>
          <w:tcPr>
            <w:tcW w:type="dxa" w:w="5616"/>
            <w:vAlign w:val="center"/>
            <w:tcMar>
              <w:top w:w="85" w:type="dxa"/>
              <w:left w:w="85" w:type="dxa"/>
              <w:bottom w:w="85" w:type="dxa"/>
              <w:right w:w="85" w:type="dxa"/>
            </w:tcMar>
          </w:tcPr>
          <w:p>
            <w:pPr>
              <w:spacing w:after="60" w:line="245" w:lineRule="auto"/>
            </w:pPr>
            <w:r>
              <w:rPr>
                <w:b w:val="0"/>
                <w:sz w:val="20"/>
              </w:rPr>
              <w:t>Local routes, same-origin checks and loopback binding</w:t>
            </w:r>
          </w:p>
        </w:tc>
      </w:tr>
      <w:tr>
        <w:trPr>
          <w:cantSplit/>
        </w:trPr>
        <w:tc>
          <w:tcPr>
            <w:tcW w:type="dxa" w:w="4464"/>
            <w:vAlign w:val="center"/>
            <w:tcMar>
              <w:top w:w="85" w:type="dxa"/>
              <w:left w:w="85" w:type="dxa"/>
              <w:bottom w:w="85" w:type="dxa"/>
              <w:right w:w="85" w:type="dxa"/>
            </w:tcMar>
          </w:tcPr>
          <w:p>
            <w:r>
              <w:t>integrations.py and pipeline.py</w:t>
            </w:r>
          </w:p>
        </w:tc>
        <w:tc>
          <w:tcPr>
            <w:tcW w:type="dxa" w:w="5616"/>
            <w:vAlign w:val="center"/>
            <w:tcMar>
              <w:top w:w="85" w:type="dxa"/>
              <w:left w:w="85" w:type="dxa"/>
              <w:bottom w:w="85" w:type="dxa"/>
              <w:right w:w="85" w:type="dxa"/>
            </w:tcMar>
          </w:tcPr>
          <w:p>
            <w:r>
              <w:t>Source adapters, fixed identity guards, attempt journal, outbox and reconciliation</w:t>
            </w:r>
          </w:p>
        </w:tc>
      </w:tr>
      <w:tr>
        <w:trPr>
          <w:cantSplit/>
        </w:trPr>
        <w:tc>
          <w:tcPr>
            <w:tcW w:type="dxa" w:w="4464"/>
            <w:vAlign w:val="center"/>
            <w:tcMar>
              <w:top w:w="85" w:type="dxa"/>
              <w:left w:w="85" w:type="dxa"/>
              <w:bottom w:w="85" w:type="dxa"/>
              <w:right w:w="85" w:type="dxa"/>
            </w:tcMar>
          </w:tcPr>
          <w:p>
            <w:pPr>
              <w:spacing w:after="60" w:line="245" w:lineRule="auto"/>
            </w:pPr>
            <w:r>
              <w:rPr>
                <w:b w:val="0"/>
                <w:sz w:val="20"/>
              </w:rPr>
              <w:t>pathways-v1/static/dashboard.js and dashboard.css</w:t>
            </w:r>
          </w:p>
        </w:tc>
        <w:tc>
          <w:tcPr>
            <w:tcW w:type="dxa" w:w="5616"/>
            <w:vAlign w:val="center"/>
            <w:tcMar>
              <w:top w:w="85" w:type="dxa"/>
              <w:left w:w="85" w:type="dxa"/>
              <w:bottom w:w="85" w:type="dxa"/>
              <w:right w:w="85" w:type="dxa"/>
            </w:tcMar>
          </w:tcPr>
          <w:p>
            <w:pPr>
              <w:spacing w:after="60" w:line="245" w:lineRule="auto"/>
            </w:pPr>
            <w:r>
              <w:rPr>
                <w:b w:val="0"/>
                <w:sz w:val="20"/>
              </w:rPr>
              <w:t>Staff dashboard and website-inspired visual style</w:t>
            </w:r>
          </w:p>
        </w:tc>
      </w:tr>
      <w:tr>
        <w:trPr>
          <w:cantSplit/>
        </w:trPr>
        <w:tc>
          <w:tcPr>
            <w:tcW w:type="dxa" w:w="4464"/>
            <w:vAlign w:val="center"/>
            <w:tcMar>
              <w:top w:w="85" w:type="dxa"/>
              <w:left w:w="85" w:type="dxa"/>
              <w:bottom w:w="85" w:type="dxa"/>
              <w:right w:w="85" w:type="dxa"/>
            </w:tcMar>
          </w:tcPr>
          <w:p>
            <w:pPr>
              <w:spacing w:after="60" w:line="245" w:lineRule="auto"/>
            </w:pPr>
            <w:r>
              <w:rPr>
                <w:b w:val="0"/>
                <w:sz w:val="20"/>
              </w:rPr>
              <w:t>pathways-v1/data</w:t>
            </w:r>
          </w:p>
        </w:tc>
        <w:tc>
          <w:tcPr>
            <w:tcW w:type="dxa" w:w="5616"/>
            <w:vAlign w:val="center"/>
            <w:tcMar>
              <w:top w:w="85" w:type="dxa"/>
              <w:left w:w="85" w:type="dxa"/>
              <w:bottom w:w="85" w:type="dxa"/>
              <w:right w:w="85" w:type="dxa"/>
            </w:tcMar>
          </w:tcPr>
          <w:p>
            <w:r>
              <w:t>Ignored snapshots, source-events.sqlite3 and staff write journal; preserve these during restart</w:t>
            </w:r>
          </w:p>
        </w:tc>
      </w:tr>
      <w:tr>
        <w:trPr>
          <w:cantSplit/>
        </w:trPr>
        <w:tc>
          <w:tcPr>
            <w:tcW w:type="dxa" w:w="4464"/>
            <w:vAlign w:val="center"/>
            <w:tcMar>
              <w:top w:w="85" w:type="dxa"/>
              <w:left w:w="85" w:type="dxa"/>
              <w:bottom w:w="85" w:type="dxa"/>
              <w:right w:w="85" w:type="dxa"/>
            </w:tcMar>
          </w:tcPr>
          <w:p>
            <w:pPr>
              <w:spacing w:after="60" w:line="245" w:lineRule="auto"/>
            </w:pPr>
            <w:r>
              <w:rPr>
                <w:b w:val="0"/>
                <w:sz w:val="20"/>
              </w:rPr>
              <w:t>pathways-v1/tests</w:t>
            </w:r>
          </w:p>
        </w:tc>
        <w:tc>
          <w:tcPr>
            <w:tcW w:type="dxa" w:w="5616"/>
            <w:vAlign w:val="center"/>
            <w:tcMar>
              <w:top w:w="85" w:type="dxa"/>
              <w:left w:w="85" w:type="dxa"/>
              <w:bottom w:w="85" w:type="dxa"/>
              <w:right w:w="85" w:type="dxa"/>
            </w:tcMar>
          </w:tcPr>
          <w:p>
            <w:pPr>
              <w:spacing w:after="60" w:line="245" w:lineRule="auto"/>
            </w:pPr>
            <w:r>
              <w:rPr>
                <w:b w:val="0"/>
                <w:sz w:val="20"/>
              </w:rPr>
              <w:t>Workflow and adapter verification</w:t>
            </w:r>
          </w:p>
        </w:tc>
      </w:tr>
      <w:tr>
        <w:trPr>
          <w:cantSplit/>
        </w:trPr>
        <w:tc>
          <w:tcPr>
            <w:tcW w:type="dxa" w:w="4464"/>
            <w:vAlign w:val="center"/>
            <w:tcMar>
              <w:top w:w="85" w:type="dxa"/>
              <w:left w:w="85" w:type="dxa"/>
              <w:bottom w:w="85" w:type="dxa"/>
              <w:right w:w="85" w:type="dxa"/>
            </w:tcMar>
          </w:tcPr>
          <w:p>
            <w:pPr>
              <w:spacing w:after="60" w:line="245" w:lineRule="auto"/>
            </w:pPr>
            <w:r>
              <w:rPr>
                <w:b w:val="0"/>
                <w:sz w:val="20"/>
              </w:rPr>
              <w:t>pathways-v1/README.md</w:t>
            </w:r>
          </w:p>
        </w:tc>
        <w:tc>
          <w:tcPr>
            <w:tcW w:type="dxa" w:w="5616"/>
            <w:vAlign w:val="center"/>
            <w:tcMar>
              <w:top w:w="85" w:type="dxa"/>
              <w:left w:w="85" w:type="dxa"/>
              <w:bottom w:w="85" w:type="dxa"/>
              <w:right w:w="85" w:type="dxa"/>
            </w:tcMar>
          </w:tcPr>
          <w:p>
            <w:r>
              <w:t>Runbook, schema setup, retry and recovery; evidence and fixed IDs are in thinkific-demo</w:t>
            </w:r>
          </w:p>
        </w:tc>
      </w:tr>
    </w:tbl>
    <w:p>
      <w:pPr>
        <w:spacing w:after="0"/>
      </w:pPr>
    </w:p>
    <w:p>
      <w:pPr>
        <w:pStyle w:val="Heading2"/>
      </w:pPr>
      <w:r>
        <w:t>Verification completed</w:t>
      </w:r>
    </w:p>
    <w:p>
      <w:r>
        <w:t>34 automated checks pass. Live checks verify native-form 0/2 and 2/2 attempts, HTTP submission and replay, changed-key rejection, safe identity review, six remote attempt mirrors, two 0% enrolments and isolated recovery from Airtable envelopes. No real participants were used. No course publication or participant-message send was performed; site welcome email was disabled when creating fictional learners.</w:t>
      </w:r>
    </w:p>
    <w:p>
      <w:pPr>
        <w:pStyle w:val="Heading2"/>
      </w:pPr>
      <w:r>
        <w:t>Vendor references and review points</w:t>
      </w:r>
    </w:p>
    <w:p>
      <w:r>
        <w:t>Vendor references. See the runbook for current Thinkific REST and GraphQL schemas, Draft learner access rules, and Airtable form, pagination and rate-limit documentation.</w:t>
      </w:r>
    </w:p>
    <w:sectPr w:rsidR="00FC693F" w:rsidRPr="0006063C" w:rsidSect="00034616">
      <w:headerReference w:type="default" r:id="rId9"/>
      <w:footerReference w:type="default" r:id="rId10"/>
      <w:pgSz w:w="12240" w:h="15840"/>
      <w:pgMar w:top="1008"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Draft for AAA review   •   23 October 2026</w:t>
    </w:r>
    <w:r>
      <w:rPr>
        <w:sz w:val="16"/>
      </w:rPr>
      <w:t xml:space="preserve">        Page </w:t>
    </w:r>
    <w:fldSimple w:instr="PAGE"/>
    <w:r>
      <w:rPr>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ANIMAL ADVOCACY AFRICA   /   DASHBOARD CONTRACTOR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thinkific.com/api/api-documentation/" TargetMode="External"/><Relationship Id="rId12" Type="http://schemas.openxmlformats.org/officeDocument/2006/relationships/hyperlink" Target="https://support.thinkific.dev/hc/en-us/articles/38357676036887-Authorization-using-API-Access-Token" TargetMode="External"/><Relationship Id="rId13" Type="http://schemas.openxmlformats.org/officeDocument/2006/relationships/hyperlink" Target="https://support.thinkific.dev/hc/en-us/articles/4422658311703-Webhooks-Documentation" TargetMode="External"/><Relationship Id="rId14" Type="http://schemas.openxmlformats.org/officeDocument/2006/relationships/hyperlink" Target="https://support.airtable.com/articles/7735693959-Managing-API-call-limits-in-Air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DASHBOARD CONTRACTOR HANDOFF</dc:subject>
  <dc:creator>Vegan Hacktivists</dc:creator>
  <cp:keywords/>
  <dc:description>generated by python-docx</dc:description>
  <cp:lastModifiedBy/>
  <cp:revision>1</cp:revision>
  <dcterms:created xsi:type="dcterms:W3CDTF">2013-12-23T23:15:00Z</dcterms:created>
  <dcterms:modified xsi:type="dcterms:W3CDTF">2013-12-23T23:15:00Z</dcterms:modified>
  <cp:category/>
</cp:coreProperties>
</file>