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Pathways dashboard decisions for AAA</w:t>
      </w:r>
    </w:p>
    <w:p>
      <w:r>
        <w:t>Review brief for Moritz and the confirmed operational owner | 23 October 2026</w:t>
      </w:r>
    </w:p>
    <w:p>
      <w:r>
        <w:t>Recommendation. Retain the existing private Airtable assessment form for this demo. It now feeds separate attempts and a review queue without another tool. Keep the first production build narrow: verified advocate identity, dependable assessment history, clear staff actions and ownership. This demonstration does not settle the final AAA platform.</w:t>
      </w:r>
    </w:p>
    <w:p>
      <w:r>
        <w:t>What is already demonstrated. Six fictional advocates remain fixed. Nuru’s native form attempts retain 0/2 and 2/2; replay and conflicting claims are handled safely. Two fictional Thinkific learners are enrolled and their real 0% enrolment status is saved to Airtable. The demo course remains Draft. Quiz API access works but no stored learner quiz results exist.</w:t>
      </w:r>
    </w:p>
    <w:p>
      <w:pPr>
        <w:pStyle w:val="Heading2"/>
      </w:pPr>
      <w:r>
        <w:t>One Confirm the owner and backup</w:t>
      </w:r>
    </w:p>
    <w:p>
      <w:r/>
      <w:r>
        <w:rPr>
          <w:b/>
        </w:rPr>
        <w:t>Proposed default:</w:t>
      </w:r>
      <w:r>
        <w:t xml:space="preserve"> Moritz sponsors the work; Stuart owns day-to-day operation if he accepts the role. Name a backup. Agree who approves fields, access, automation rules and launch. A contractor builds the service; AAA remains responsible for its operation.</w:t>
      </w:r>
    </w:p>
    <w:p>
      <w:pPr>
        <w:pStyle w:val="Heading2"/>
      </w:pPr>
      <w:r>
        <w:t>Two Confirm who the dashboard serves</w:t>
      </w:r>
    </w:p>
    <w:p>
      <w:r/>
      <w:r>
        <w:rPr>
          <w:b/>
        </w:rPr>
        <w:t>Proposed default:</w:t>
      </w:r>
      <w:r>
        <w:t xml:space="preserve"> start with a staff dashboard. Keep the existing learner experience while testing its friction and data access. Commission a new learner portal only if a documented need cannot be met adequately by the retained tools.</w:t>
      </w:r>
    </w:p>
    <w:p>
      <w:pPr>
        <w:pStyle w:val="Heading2"/>
      </w:pPr>
      <w:r>
        <w:t>Three Choose the first assessment and course</w:t>
      </w:r>
    </w:p>
    <w:p>
      <w:r>
        <w:t>Demo choice implemented. Use the existing collaborator-only Airtable form because it already creates the raw submission rows needed for immutable attempts. Google Forms is unnecessary for this test. AAA must still select its production course, assessment and rubric, and decide how external learners will access the form. Course completion, assessment score and programme selection remain separate.</w:t>
      </w:r>
    </w:p>
    <w:p>
      <w:pPr>
        <w:pStyle w:val="Heading2"/>
      </w:pPr>
      <w:r>
        <w:t>Four Agree identity and data rules</w:t>
      </w:r>
    </w:p>
    <w:p>
      <w:r>
        <w:t>Production decision. Link durable advocate IDs to verified source accounts, and choose how learners authenticate. Demo ID plus exact name can match fictional claims but does not prove who submitted them. Unknown or inconsistent claims enter review without merging. Agree review ownership, permitted fields, retention, correction/deletion rules and access before real participant use.</w:t>
      </w:r>
    </w:p>
    <w:p>
      <w:pPr>
        <w:pStyle w:val="Heading2"/>
      </w:pPr>
      <w:r>
        <w:t>Five Agree follow-up and delivery responsibility</w:t>
      </w:r>
    </w:p>
    <w:p>
      <w:r>
        <w:t>Decision needed. Name who reviews unmatched and conflicting submissions, what evidence resolves them, and how corrections are recorded. Agree follow-up triggers, owner, timing, suppression, budget, alert recipient and recovery expectations. There is no unattended processor or message sender in this prototype.</w:t>
      </w:r>
    </w:p>
    <w:p>
      <w:r>
        <w:br w:type="page"/>
      </w:r>
    </w:p>
    <w:p>
      <w:pPr>
        <w:pStyle w:val="Heading1"/>
      </w:pPr>
      <w:r>
        <w:t>When to retain Airtable and when to reconsider</w:t>
      </w:r>
    </w:p>
    <w:p>
      <w:r/>
      <w:r>
        <w:rPr>
          <w:b/>
        </w:rPr>
        <w:t>Proposed default:</w:t>
      </w:r>
      <w:r>
        <w:t xml:space="preserve"> retain Airtable for the pilot if the owner and backup can run it and the actual workload fits. A move to Supabase is an option to evaluate when requirements justify a maintained application database. It is not an automatic next stage or a fix for unclear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tblHeader/>
          <w:cantSplit/>
        </w:trPr>
        <w:tc>
          <w:tcPr>
            <w:tcW w:type="dxa" w:w="2376"/>
            <w:vAlign w:val="center"/>
            <w:tcMar>
              <w:top w:w="85" w:type="dxa"/>
              <w:left w:w="85" w:type="dxa"/>
              <w:bottom w:w="85" w:type="dxa"/>
              <w:right w:w="85" w:type="dxa"/>
            </w:tcMar>
            <w:shd w:fill="EDEDED"/>
          </w:tcPr>
          <w:p>
            <w:pPr>
              <w:spacing w:after="60" w:line="245" w:lineRule="auto"/>
            </w:pPr>
            <w:r>
              <w:rPr>
                <w:b/>
                <w:sz w:val="20"/>
              </w:rPr>
              <w:t>Decision factor</w:t>
            </w:r>
          </w:p>
        </w:tc>
        <w:tc>
          <w:tcPr>
            <w:tcW w:type="dxa" w:w="7704"/>
            <w:vAlign w:val="center"/>
            <w:tcMar>
              <w:top w:w="85" w:type="dxa"/>
              <w:left w:w="85" w:type="dxa"/>
              <w:bottom w:w="85" w:type="dxa"/>
              <w:right w:w="85" w:type="dxa"/>
            </w:tcMar>
            <w:shd w:fill="EDEDED"/>
          </w:tcPr>
          <w:p>
            <w:pPr>
              <w:spacing w:after="60" w:line="245" w:lineRule="auto"/>
            </w:pPr>
            <w:r>
              <w:rPr>
                <w:b/>
                <w:sz w:val="20"/>
              </w:rPr>
              <w:t>Evidence that would justify a review</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Permissions</w:t>
            </w:r>
          </w:p>
        </w:tc>
        <w:tc>
          <w:tcPr>
            <w:tcW w:type="dxa" w:w="7704"/>
            <w:vAlign w:val="center"/>
            <w:tcMar>
              <w:top w:w="85" w:type="dxa"/>
              <w:left w:w="85" w:type="dxa"/>
              <w:bottom w:w="85" w:type="dxa"/>
              <w:right w:w="85" w:type="dxa"/>
            </w:tcMar>
          </w:tcPr>
          <w:p>
            <w:pPr>
              <w:spacing w:after="60" w:line="245" w:lineRule="auto"/>
            </w:pPr>
            <w:r>
              <w:rPr>
                <w:b w:val="0"/>
                <w:sz w:val="20"/>
              </w:rPr>
              <w:t>The approved staff and learner access model cannot be implemented reliably with the chosen Airtable setup.</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Volume and reliability</w:t>
            </w:r>
          </w:p>
        </w:tc>
        <w:tc>
          <w:tcPr>
            <w:tcW w:type="dxa" w:w="7704"/>
            <w:vAlign w:val="center"/>
            <w:tcMar>
              <w:top w:w="85" w:type="dxa"/>
              <w:left w:w="85" w:type="dxa"/>
              <w:bottom w:w="85" w:type="dxa"/>
              <w:right w:w="85" w:type="dxa"/>
            </w:tcMar>
          </w:tcPr>
          <w:p>
            <w:pPr>
              <w:spacing w:after="60" w:line="245" w:lineRule="auto"/>
            </w:pPr>
            <w:r>
              <w:rPr>
                <w:b w:val="0"/>
                <w:sz w:val="20"/>
              </w:rPr>
              <w:t>Measured traffic or event volume breaches the actual plan limits or misses agreed response and recovery targets after reasonable optimisation.</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Data relationships and history</w:t>
            </w:r>
          </w:p>
        </w:tc>
        <w:tc>
          <w:tcPr>
            <w:tcW w:type="dxa" w:w="7704"/>
            <w:vAlign w:val="center"/>
            <w:tcMar>
              <w:top w:w="85" w:type="dxa"/>
              <w:left w:w="85" w:type="dxa"/>
              <w:bottom w:w="85" w:type="dxa"/>
              <w:right w:w="85" w:type="dxa"/>
            </w:tcMar>
          </w:tcPr>
          <w:p>
            <w:pPr>
              <w:spacing w:after="60" w:line="245" w:lineRule="auto"/>
            </w:pPr>
            <w:r>
              <w:rPr>
                <w:b w:val="0"/>
                <w:sz w:val="20"/>
              </w:rPr>
              <w:t>Versioned assessments, enrolments and outcomes become too fragile to link, validate and query in the agreed model.</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Operating cost</w:t>
            </w:r>
          </w:p>
        </w:tc>
        <w:tc>
          <w:tcPr>
            <w:tcW w:type="dxa" w:w="7704"/>
            <w:vAlign w:val="center"/>
            <w:tcMar>
              <w:top w:w="85" w:type="dxa"/>
              <w:left w:w="85" w:type="dxa"/>
              <w:bottom w:w="85" w:type="dxa"/>
              <w:right w:w="85" w:type="dxa"/>
            </w:tcMar>
          </w:tcPr>
          <w:p>
            <w:pPr>
              <w:spacing w:after="60" w:line="245" w:lineRule="auto"/>
            </w:pPr>
            <w:r>
              <w:rPr>
                <w:b w:val="0"/>
                <w:sz w:val="20"/>
              </w:rPr>
              <w:t>Measured subscription, connector and maintenance costs exceed a supported alternative over an agreed planning period.</w:t>
            </w:r>
          </w:p>
        </w:tc>
      </w:tr>
      <w:tr>
        <w:trPr>
          <w:cantSplit/>
        </w:trPr>
        <w:tc>
          <w:tcPr>
            <w:tcW w:type="dxa" w:w="2376"/>
            <w:vAlign w:val="center"/>
            <w:tcMar>
              <w:top w:w="85" w:type="dxa"/>
              <w:left w:w="85" w:type="dxa"/>
              <w:bottom w:w="85" w:type="dxa"/>
              <w:right w:w="85" w:type="dxa"/>
            </w:tcMar>
          </w:tcPr>
          <w:p>
            <w:pPr>
              <w:spacing w:after="60" w:line="245" w:lineRule="auto"/>
            </w:pPr>
            <w:r>
              <w:rPr>
                <w:b w:val="0"/>
                <w:sz w:val="20"/>
              </w:rPr>
              <w:t>Ownership and support</w:t>
            </w:r>
          </w:p>
        </w:tc>
        <w:tc>
          <w:tcPr>
            <w:tcW w:type="dxa" w:w="7704"/>
            <w:vAlign w:val="center"/>
            <w:tcMar>
              <w:top w:w="85" w:type="dxa"/>
              <w:left w:w="85" w:type="dxa"/>
              <w:bottom w:w="85" w:type="dxa"/>
              <w:right w:w="85" w:type="dxa"/>
            </w:tcMar>
          </w:tcPr>
          <w:p>
            <w:pPr>
              <w:spacing w:after="60" w:line="245" w:lineRule="auto"/>
            </w:pPr>
            <w:r>
              <w:rPr>
                <w:b w:val="0"/>
                <w:sz w:val="20"/>
              </w:rPr>
              <w:t>AAA can fund and name someone to maintain database access rules, hosting, backups, migrations and incidents.</w:t>
            </w:r>
          </w:p>
        </w:tc>
      </w:tr>
    </w:tbl>
    <w:p>
      <w:pPr>
        <w:spacing w:after="0"/>
      </w:pPr>
    </w:p>
    <w:p>
      <w:pPr>
        <w:pStyle w:val="Heading2"/>
      </w:pPr>
      <w:r>
        <w:t>Compare complete systems</w:t>
      </w:r>
    </w:p>
    <w:p>
      <w:r>
        <w:t>If a trigger is reached, ask the contractor to compare staying in Airtable, improving the integration, and moving to Supabase or another suitable database. Include staff editing tools, dashboard access, authentication, monitoring, backups, data export, migration work and ongoing support. Replacing Airtable’s storage alone does not replace its operational interface.</w:t>
      </w:r>
    </w:p>
    <w:p>
      <w:pPr>
        <w:pStyle w:val="Heading2"/>
      </w:pPr>
      <w:r>
        <w:t>Make a future move easier now</w:t>
      </w:r>
    </w:p>
    <w:p>
      <w:pPr>
        <w:pStyle w:val="ListBullet"/>
      </w:pPr>
      <w:r>
        <w:t>Use durable internal IDs and keep source IDs and provenance.</w:t>
      </w:r>
    </w:p>
    <w:p>
      <w:pPr>
        <w:pStyle w:val="ListBullet"/>
      </w:pPr>
      <w:r>
        <w:t>Preserve assessment attempts and event timestamps separately from the latest profile.</w:t>
      </w:r>
    </w:p>
    <w:p>
      <w:pPr>
        <w:pStyle w:val="ListBullet"/>
      </w:pPr>
      <w:r>
        <w:t>Put tool-specific API code behind adapters so the dashboard does not depend on Airtable field names.</w:t>
      </w:r>
    </w:p>
    <w:p>
      <w:pPr>
        <w:pStyle w:val="ListBullet"/>
      </w:pPr>
      <w:r>
        <w:t>Require a documented linked export and a tested restore procedure.</w:t>
      </w:r>
    </w:p>
    <w:p>
      <w:pPr>
        <w:pStyle w:val="ListBullet"/>
      </w:pPr>
      <w:r>
        <w:t>Agree performance, cost and reliability thresholds after measuring the pilot; do not invent a migration date or participant-count threshold.</w:t>
      </w:r>
    </w:p>
    <w:p>
      <w:pPr>
        <w:pStyle w:val="Heading2"/>
      </w:pPr>
      <w:r>
        <w:t>Approval record to complete together</w:t>
      </w:r>
    </w:p>
    <w:p>
      <w:r>
        <w:t>Operational owner ____________________   Backup ____________________</w:t>
      </w:r>
    </w:p>
    <w:p>
      <w:r>
        <w:t>First course and form ____________________________________________</w:t>
      </w:r>
    </w:p>
    <w:p>
      <w:r>
        <w:t>Budget and maintenance arrangement _______________________________</w:t>
      </w:r>
    </w:p>
    <w:p>
      <w:r>
        <w:t>Success measures and review date _________________________________</w:t>
      </w:r>
    </w:p>
    <w:p>
      <w:r>
        <w:t>Remaining acceptance decision. The demo course is unpublished, so a fictional learner cannot access lessons to generate activity. Do not publish it merely to satisfy a test. AAA must authorise the publication approach before a contractor proves real lesson progress and a stored native quiz attempt. Production sign-in, scheduling, review resolution and operational handover remain to build.</w:t>
      </w:r>
    </w:p>
    <w:sectPr w:rsidR="00FC693F" w:rsidRPr="0006063C" w:rsidSect="00034616">
      <w:headerReference w:type="default" r:id="rId9"/>
      <w:footerReference w:type="default" r:id="rId10"/>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Draft for AAA review   •   23 October 2026</w:t>
    </w:r>
    <w:r>
      <w:rPr>
        <w:sz w:val="16"/>
      </w:rPr>
      <w:t xml:space="preserve">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ANIMAL ADVOCACY AFRICA   /   DECISIONS FOR AAA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DECISIONS FOR AAA</dc:subject>
  <dc:creator>Vegan Hacktivists</dc:creator>
  <cp:keywords/>
  <dc:description>generated by python-docx</dc:description>
  <cp:lastModifiedBy/>
  <cp:revision>1</cp:revision>
  <dcterms:created xsi:type="dcterms:W3CDTF">2013-12-23T23:15:00Z</dcterms:created>
  <dcterms:modified xsi:type="dcterms:W3CDTF">2013-12-23T23:15:00Z</dcterms:modified>
  <cp:category/>
</cp:coreProperties>
</file>