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Pathways and CRM API setup guide</w:t>
      </w:r>
    </w:p>
    <w:p>
      <w:r>
        <w:t>Companion to the contractor PRD   |   Version 0.1   |   23 October 2026</w:t>
      </w:r>
    </w:p>
    <w:p>
      <w:r>
        <w:t>AAA should own the accounts, billing and recovery access for the finished system. The contractor connects those accounts, documents the permissions and proves the connections with fictional records. Start by verifying the existing tools; do not purchase a full stack before the integration proof.</w:t>
      </w:r>
    </w:p>
    <w:p>
      <w:pPr>
        <w:pStyle w:val="Heading2"/>
      </w:pPr>
      <w:r>
        <w:t>What the terms mean</w:t>
      </w:r>
    </w:p>
    <w:p>
      <w:r>
        <w:t>An API lets software read or write another system. An API key or token is a secret credential. OAuth lets an account holder grant an application defined access. A webhook notifies the integration that something happened. A connector or MCP lets an assistant work with a tool; it does not by itself provide a reliable, always-running workflow.</w:t>
      </w:r>
    </w:p>
    <w:p>
      <w:pPr>
        <w:pStyle w:val="Heading2"/>
      </w:pPr>
      <w:r>
        <w:t>Before the contractor starts</w:t>
      </w:r>
    </w:p>
    <w:p>
      <w:pPr>
        <w:pStyle w:val="ListBullet"/>
      </w:pPr>
      <w:r>
        <w:t>Name the AAA owner, backup, billing approver and person responsible for participant-data decisions.</w:t>
      </w:r>
    </w:p>
    <w:p>
      <w:pPr>
        <w:pStyle w:val="ListBullet"/>
      </w:pPr>
      <w:r>
        <w:t>List the existing Airtable workspace and bases; Google forms, response sheets and shared folders; course account; mailing service; and any Claude Console organisation.</w:t>
      </w:r>
    </w:p>
    <w:p>
      <w:pPr>
        <w:pStyle w:val="ListBullet"/>
      </w:pPr>
      <w:r>
        <w:t>Collect current course materials, assessment item codes and formulas, sample anonymised source exports and the programme outcome definitions.</w:t>
      </w:r>
    </w:p>
    <w:p>
      <w:pPr>
        <w:pStyle w:val="ListBullet"/>
      </w:pPr>
      <w:r>
        <w:t>Agree a small test workspace, test sender addresses and fictional participants. Keep production sending disabled until AAA approves templates and test results.</w:t>
      </w:r>
    </w:p>
    <w:p>
      <w:pPr>
        <w:pStyle w:val="ListBullet"/>
      </w:pPr>
      <w:r>
        <w:t>Use individual staff logins and platform-supported workload identities. Keep recovery access under AAA control and require multi-factor authentication where available.</w:t>
      </w:r>
    </w:p>
    <w:p>
      <w:pPr>
        <w:pStyle w:val="Heading2"/>
      </w:pPr>
      <w:r>
        <w:t>Credential register</w:t>
      </w:r>
    </w:p>
    <w:p>
      <w:r>
        <w:t>For each connection, record system, purpose, environment, credential owner, allowed permissions, accessible resources, secret-store reference, expiry, rotation procedure and last successful test. Record the location of a secret; never paste the secret itself into a handoff document, chat, spreadsheet, screenshot or source repository.</w:t>
      </w:r>
    </w:p>
    <w:p>
      <w:r>
        <w:t>Use separate test and production credentials. The contractor should store them in the chosen automation platform’s protected connection store or a server-side secret manager. Any editor able to change an integration may be able to extract its credentials, so restrict editor access as well as token access.</w:t>
      </w:r>
    </w:p>
    <w:p>
      <w:pPr>
        <w:pStyle w:val="Heading2"/>
      </w:pPr>
      <w:r>
        <w:t>Setup order</w:t>
      </w:r>
    </w:p>
    <w:p>
      <w:r>
        <w:t>1. Verify sources and owners.  2. Create the CRM test schema.  3. Connect one assessment form.  4. Prove course progress access.  5. Test messages to staff addresses.  6. Add optional AI only after its data and cost rules are approved.  7. Repeat the proof with production credentials before launch.</w:t>
      </w:r>
    </w:p>
    <w:p>
      <w:r>
        <w:br w:type="page"/>
      </w:r>
    </w:p>
    <w:p>
      <w:pPr>
        <w:pStyle w:val="Heading1"/>
      </w:pPr>
      <w:r>
        <w:t>Set up Airtable and check capacity</w:t>
      </w:r>
    </w:p>
    <w:p>
      <w:pPr>
        <w:pStyle w:val="Heading2"/>
      </w:pPr>
      <w:r>
        <w:t>Account and token setup</w:t>
      </w:r>
    </w:p>
    <w:p>
      <w:r>
        <w:t xml:space="preserve">An AAA administrator should create or select the test base and give the contractor access to that base only. In Airtable’s Developer Hub, create a named personal access token, select the required scopes and explicitly add the allowed base. The token’s access is also limited by its owner’s permissions. See </w:t>
      </w:r>
      <w:hyperlink r:id="rId11">
        <w:r>
          <w:rPr>
            <w:color w:val="185080"/>
            <w:u w:val="single"/>
          </w:rPr>
          <w:t>Airtable token setup</w:t>
        </w:r>
      </w:hyperlink>
      <w:r>
        <w:t>.</w:t>
      </w:r>
    </w:p>
    <w:p>
      <w:r>
        <w:t>Recommended runtime scope proposal: data.records:read and data.records:write on the participant base; add schema.bases:read only if the chosen integration needs it. Avoid schema write or organisation-wide access for routine processing. Use separate credentials for migration if broader access is necessary, then revoke them.</w:t>
      </w:r>
    </w:p>
    <w:p>
      <w:r>
        <w:t xml:space="preserve">Airtable’s native service accounts are an Enterprise Scale feature. If AAA has that plan, ask an admin to create the workload identity. Otherwise agree a supported OAuth or AAA staff-owned token arrangement and document how a new owner reconnects it before the account holder leaves. Do not make the contractor’s personal token the production dependency. See </w:t>
      </w:r>
      <w:hyperlink r:id="rId12">
        <w:r>
          <w:rPr>
            <w:color w:val="185080"/>
            <w:u w:val="single"/>
          </w:rPr>
          <w:t>service accounts</w:t>
        </w:r>
      </w:hyperlink>
      <w:r>
        <w:t>.</w:t>
      </w:r>
    </w:p>
    <w:p>
      <w:pPr>
        <w:pStyle w:val="Heading2"/>
      </w:pPr>
      <w:r>
        <w:t>Connection proof</w:t>
      </w:r>
    </w:p>
    <w:p>
      <w:r>
        <w:t>Record the base ID, table IDs and field IDs without the token. The contractor must read a fictional advocate, create a test assessment record, update it, export the linked records and show that the credential cannot access an unrelated base. Changing a display label should not silently break the integration.</w:t>
      </w:r>
    </w:p>
    <w:p>
      <w:pPr>
        <w:pStyle w:val="Heading2"/>
      </w:pPr>
      <w:r>
        <w:t>Limits to verify</w:t>
      </w:r>
    </w:p>
    <w:p>
      <w:r>
        <w:t xml:space="preserve">Record limits count all tables in a base. Current documentation lists 50,000 records for Team and 125,000 for Business. Model response, score, event and message rows as well as people; keep verbose operational logs in an appropriate separate store if needed. See </w:t>
      </w:r>
      <w:hyperlink r:id="rId13">
        <w:r>
          <w:rPr>
            <w:color w:val="185080"/>
            <w:u w:val="single"/>
          </w:rPr>
          <w:t>workspace limits</w:t>
        </w:r>
      </w:hyperlink>
      <w:r>
        <w:t>.</w:t>
      </w:r>
    </w:p>
    <w:p>
      <w:r>
        <w:t xml:space="preserve">The Web API has a five-request-per-second per-base limit, with additional monthly limits on some plans. The contractor must handle pagination and 429 responses, budget API calls and prove that retries do not duplicate writes. Confirm current allowances before contracting. See </w:t>
      </w:r>
      <w:hyperlink r:id="rId14">
        <w:r>
          <w:rPr>
            <w:color w:val="185080"/>
            <w:u w:val="single"/>
          </w:rPr>
          <w:t>API call limits</w:t>
        </w:r>
      </w:hyperlink>
      <w:r>
        <w:t>.</w:t>
      </w:r>
    </w:p>
    <w:p>
      <w:pPr>
        <w:pStyle w:val="Heading2"/>
      </w:pPr>
      <w:r>
        <w:t>Decision after the proof</w:t>
      </w:r>
    </w:p>
    <w:p>
      <w:r>
        <w:t>Approve Airtable only when the capacity calculation, access design and analysis export fit. If they do not, request a managed relational database option with a staff interface, backup procedure and separate hosting estimate. Do not commit to a higher plan merely to avoid examining the record model.</w:t>
      </w:r>
    </w:p>
    <w:p>
      <w:r>
        <w:br w:type="page"/>
      </w:r>
    </w:p>
    <w:p>
      <w:pPr>
        <w:pStyle w:val="Heading1"/>
      </w:pPr>
      <w:r>
        <w:t>Connect Google Forms and course progress</w:t>
      </w:r>
    </w:p>
    <w:p>
      <w:pPr>
        <w:pStyle w:val="Heading2"/>
      </w:pPr>
      <w:r>
        <w:t>Simpler Google Forms route</w:t>
      </w:r>
    </w:p>
    <w:p>
      <w:r>
        <w:t xml:space="preserve">Keep the existing forms if they support the revised assessments. A contractor can use an approved automation connector or an Apps Script installable form-submit trigger. With Apps Script, the AAA account that will operate the workflow should authorise and create the trigger; installable triggers run as their creator. Document its form or response-sheet source and add an independent reconciliation check. See </w:t>
      </w:r>
      <w:hyperlink r:id="rId15">
        <w:r>
          <w:rPr>
            <w:color w:val="185080"/>
            <w:u w:val="single"/>
          </w:rPr>
          <w:t>installable triggers</w:t>
        </w:r>
      </w:hyperlink>
      <w:r>
        <w:t>.</w:t>
      </w:r>
    </w:p>
    <w:p>
      <w:r>
        <w:t xml:space="preserve">Check </w:t>
      </w:r>
      <w:hyperlink r:id="rId16">
        <w:r>
          <w:rPr>
            <w:color w:val="185080"/>
            <w:u w:val="single"/>
          </w:rPr>
          <w:t>Apps Script quotas</w:t>
        </w:r>
      </w:hyperlink>
      <w:r>
        <w:t xml:space="preserve"> against peak submissions and follow-up volume. Test a real UI submission: script and API submissions do not generally fire the same triggers. Edited responses, missed triggers and imports need explicit handling. Store secrets in the selected protected runtime, with editor access restricted.</w:t>
      </w:r>
    </w:p>
    <w:p>
      <w:pPr>
        <w:pStyle w:val="Heading2"/>
      </w:pPr>
      <w:r>
        <w:t>Direct Google API route when required</w:t>
      </w:r>
    </w:p>
    <w:p>
      <w:r>
        <w:t xml:space="preserve">For a direct integration, an AAA admin should own the Google Cloud project. The contractor enables only the required APIs, configures the OAuth audience and consent details, and requests the narrowest scopes. Forms response reading uses forms.responses.readonly; Sheets access, if needed, is separate. Confirm Workspace admin restrictions and production authorisation requirements before launch. Use the </w:t>
      </w:r>
      <w:hyperlink r:id="rId17">
        <w:r>
          <w:rPr>
            <w:color w:val="185080"/>
            <w:u w:val="single"/>
          </w:rPr>
          <w:t>Forms API reference</w:t>
        </w:r>
      </w:hyperlink>
      <w:r>
        <w:t xml:space="preserve"> and </w:t>
      </w:r>
      <w:hyperlink r:id="rId18">
        <w:r>
          <w:rPr>
            <w:color w:val="185080"/>
            <w:u w:val="single"/>
          </w:rPr>
          <w:t>Google authorisation guidance</w:t>
        </w:r>
      </w:hyperlink>
      <w:r>
        <w:t>.</w:t>
      </w:r>
    </w:p>
    <w:p>
      <w:r>
        <w:t xml:space="preserve">Google Forms push notifications use Cloud Pub/Sub, require fetching the actual responses separately and have watches that expire after seven days unless renewed. Choose this route only if its extra infrastructure is justified and monitored. See </w:t>
      </w:r>
      <w:hyperlink r:id="rId19">
        <w:r>
          <w:rPr>
            <w:color w:val="185080"/>
            <w:u w:val="single"/>
          </w:rPr>
          <w:t>Forms notifications</w:t>
        </w:r>
      </w:hyperlink>
      <w:r>
        <w:t>.</w:t>
      </w:r>
    </w:p>
    <w:p>
      <w:pPr>
        <w:pStyle w:val="Heading2"/>
      </w:pPr>
      <w:r>
        <w:t>Thinkific feasibility and credentials</w:t>
      </w:r>
    </w:p>
    <w:p>
      <w:r>
        <w:t xml:space="preserve">AAA was not on an active Thinkific plan at the scoping call. Confirm the current plan and API entitlement with Thinkific. Its token guide lists specific plan availability; a former pilot subscription does not prove present access. Under the documented route, an admin uses Settings, Code and analytics, then API Access Tokens to create a named token with expiry. Store it securely. See </w:t>
      </w:r>
      <w:hyperlink r:id="rId20">
        <w:r>
          <w:rPr>
            <w:color w:val="185080"/>
            <w:u w:val="single"/>
          </w:rPr>
          <w:t>Thinkific token setup</w:t>
        </w:r>
      </w:hyperlink>
      <w:r>
        <w:t>.</w:t>
      </w:r>
    </w:p>
    <w:p>
      <w:r>
        <w:t xml:space="preserve">Before paying for a plan or replacing the platform, have the contractor demonstrate enrolment and progress retrieval, a durable user ID, the available webhook events and recovery by API or export. Prove how assessment answers are obtained separately. Verify webhook authenticity using the supported mechanism. Use </w:t>
      </w:r>
      <w:hyperlink r:id="rId21">
        <w:r>
          <w:rPr>
            <w:color w:val="185080"/>
            <w:u w:val="single"/>
          </w:rPr>
          <w:t>Thinkific developer documentation</w:t>
        </w:r>
      </w:hyperlink>
      <w:r>
        <w:t xml:space="preserve"> for the exact current endpoints; do not assume SSO or every event is included.</w:t>
      </w:r>
    </w:p>
    <w:p>
      <w:r>
        <w:br w:type="page"/>
      </w:r>
    </w:p>
    <w:p>
      <w:pPr>
        <w:pStyle w:val="Heading1"/>
      </w:pPr>
      <w:r>
        <w:t>Set up optional Claude API use</w:t>
      </w:r>
    </w:p>
    <w:p>
      <w:r>
        <w:t>The core CRM does not require a model call for identity matching, score arithmetic, data movement or reminders. Add Claude API access when AAA approves AI scoring or the separately priced advising workflow. A staff member using Claude with connected tools is a different setup from an application making unattended API requests.</w:t>
      </w:r>
    </w:p>
    <w:p>
      <w:pPr>
        <w:pStyle w:val="Heading2"/>
      </w:pPr>
      <w:r>
        <w:t>AAA administrator steps</w:t>
      </w:r>
    </w:p>
    <w:p>
      <w:pPr>
        <w:pStyle w:val="ListBullet"/>
      </w:pPr>
      <w:r>
        <w:t>Sign in to the Claude Console at platform.claude.com. Confirm the organisation, billing owner and two AAA staff members with recovery or admin access.</w:t>
      </w:r>
    </w:p>
    <w:p>
      <w:pPr>
        <w:pStyle w:val="ListBullet"/>
      </w:pPr>
      <w:r>
        <w:t>Create separate development and production workspaces for this solution. Set an initial spending limit and usage alerts before testing.</w:t>
      </w:r>
    </w:p>
    <w:p>
      <w:pPr>
        <w:pStyle w:val="ListBullet"/>
      </w:pPr>
      <w:r>
        <w:t>Create a workspace-scoped service account key for the shared workload where available, using a personal key only for individual development. Store the key in the runtime’s secret manager.</w:t>
      </w:r>
    </w:p>
    <w:p>
      <w:pPr>
        <w:pStyle w:val="ListBullet"/>
      </w:pPr>
      <w:r>
        <w:t>Give the contractor the required project role or controlled connection access. Record expiry and rotation ownership; use no admin API credential for normal model calls.</w:t>
      </w:r>
    </w:p>
    <w:p>
      <w:r>
        <w:t xml:space="preserve">Follow </w:t>
      </w:r>
      <w:hyperlink r:id="rId22">
        <w:r>
          <w:rPr>
            <w:color w:val="185080"/>
            <w:u w:val="single"/>
          </w:rPr>
          <w:t>Claude API key setup</w:t>
        </w:r>
      </w:hyperlink>
      <w:r>
        <w:t xml:space="preserve"> and </w:t>
      </w:r>
      <w:hyperlink r:id="rId23">
        <w:r>
          <w:rPr>
            <w:color w:val="185080"/>
            <w:u w:val="single"/>
          </w:rPr>
          <w:t>authentication guidance</w:t>
        </w:r>
      </w:hyperlink>
      <w:r>
        <w:t>. The contractor should use a supported SDK and pin the selected model and prompt version in configuration.</w:t>
      </w:r>
    </w:p>
    <w:p>
      <w:pPr>
        <w:pStyle w:val="Heading2"/>
      </w:pPr>
      <w:r>
        <w:t>Billing and credits</w:t>
      </w:r>
    </w:p>
    <w:p>
      <w:r>
        <w:t xml:space="preserve">Claude application access and Claude Console API use have separate billing. Current Anthropic guidance describes monthly API credits for eligible Max and Team plans, including discounted Team plans, after linking a Console organisation. AAA’s exact plan and eligibility are unverified. An AAA owner should inspect Billing before linking or buying credits. See </w:t>
      </w:r>
      <w:hyperlink r:id="rId24">
        <w:r>
          <w:rPr>
            <w:color w:val="185080"/>
            <w:u w:val="single"/>
          </w:rPr>
          <w:t>API billing</w:t>
        </w:r>
      </w:hyperlink>
      <w:r>
        <w:t xml:space="preserve"> and </w:t>
      </w:r>
      <w:hyperlink r:id="rId25">
        <w:r>
          <w:rPr>
            <w:color w:val="185080"/>
            <w:u w:val="single"/>
          </w:rPr>
          <w:t>monthly API credits</w:t>
        </w:r>
      </w:hyperlink>
      <w:r>
        <w:t>.</w:t>
      </w:r>
    </w:p>
    <w:p>
      <w:pPr>
        <w:pStyle w:val="Heading2"/>
      </w:pPr>
      <w:r>
        <w:t>First connection and cost proof</w:t>
      </w:r>
    </w:p>
    <w:p>
      <w:r>
        <w:t>First send a fictional profile and a short approved reference extract. Check structured output, an intentional invalid request, a model timeout and the spending-limit path. Record model ID, prompt version, token use, latency and cost. Test that no other participant’s information is returned and that participant text cannot authorise tool actions.</w:t>
      </w:r>
    </w:p>
    <w:p>
      <w:r>
        <w:t>Estimate monthly model cost from expected generations × average input and output token costs, plus bounded retries and any retrieval charges. Use measured examples and current provider prices. Set a per-person generation allowance and an application-level spending stop; an alert alone does not prevent additional requests.</w:t>
      </w:r>
    </w:p>
    <w:p>
      <w:r>
        <w:t>AAA must approve the exact fields and source material sent to the provider and review its applicable data terms before using real records. Store reviewed outputs separately from source facts. Model failure must leave guidance pending for human handling; it must not change eligibility or send a draft automatically.</w:t>
      </w:r>
    </w:p>
    <w:p>
      <w:r>
        <w:br w:type="page"/>
      </w:r>
    </w:p>
    <w:p>
      <w:pPr>
        <w:pStyle w:val="Heading1"/>
      </w:pPr>
      <w:r>
        <w:t>Configure messages and complete handover</w:t>
      </w:r>
    </w:p>
    <w:p>
      <w:pPr>
        <w:pStyle w:val="Heading2"/>
      </w:pPr>
      <w:r>
        <w:t>Choose the sending service by message purpose</w:t>
      </w:r>
    </w:p>
    <w:p>
      <w:r>
        <w:t>A CRM organises people and status; it does not remove the need for a sending service. Use a provider that supports the approved message type, authentication, suppression, delivery feedback and expected volume. Keep newsletters and programme-service messages under separate rules.</w:t>
      </w:r>
    </w:p>
    <w:p>
      <w:r>
        <w:t xml:space="preserve">If retaining Mailchimp, first confirm whether the required flow belongs in Marketing or Transactional and whether AAA’s plan supports it. They have separate APIs. Use </w:t>
      </w:r>
      <w:hyperlink r:id="rId26">
        <w:r>
          <w:rPr>
            <w:color w:val="185080"/>
            <w:u w:val="single"/>
          </w:rPr>
          <w:t>Mailchimp product guidance</w:t>
        </w:r>
      </w:hyperlink>
      <w:r>
        <w:t xml:space="preserve"> and the </w:t>
      </w:r>
      <w:hyperlink r:id="rId27">
        <w:r>
          <w:rPr>
            <w:color w:val="185080"/>
            <w:u w:val="single"/>
          </w:rPr>
          <w:t>Marketing API connection test</w:t>
        </w:r>
      </w:hyperlink>
      <w:r>
        <w:t>. Do not copy a programme participant into a subscribed marketing audience without the required permission.</w:t>
      </w:r>
    </w:p>
    <w:p>
      <w:r>
        <w:t xml:space="preserve">For Transactional, the official setup includes a suitable account, verified sending domain, DNS access and API key. An AAA domain administrator should approve the DNS changes, while the contractor proves authentication and delivery to test recipients. Follow </w:t>
      </w:r>
      <w:hyperlink r:id="rId28">
        <w:r>
          <w:rPr>
            <w:color w:val="185080"/>
            <w:u w:val="single"/>
          </w:rPr>
          <w:t>first transactional email</w:t>
        </w:r>
      </w:hyperlink>
      <w:r>
        <w:t>. Another suitable provider can be proposed with the same proof and cost breakdown.</w:t>
      </w:r>
    </w:p>
    <w:p>
      <w:pPr>
        <w:pStyle w:val="Heading2"/>
      </w:pPr>
      <w:r>
        <w:t>Automation and hosting</w:t>
      </w:r>
    </w:p>
    <w:p>
      <w:r>
        <w:t>Select one orchestration tool or small integration runtime after the proof. AAA should own its workspace, billing and deployment access. Require protected credentials, durable processing state, controlled retries, a schedule for reconciliation, logs, a version history and a way to pause outgoing messages without losing intake.</w:t>
      </w:r>
    </w:p>
    <w:p>
      <w:r>
        <w:t>Set an alert destination the owner and backup both monitor. Alerts should include a record or event ID, failure category and recovery link, without full participant answers or secrets. Document who responds, how quickly and when to use the manual fallback.</w:t>
      </w:r>
    </w:p>
    <w:p>
      <w:pPr>
        <w:pStyle w:val="Heading2"/>
      </w:pPr>
      <w:r>
        <w:t>Handover evidence to collect</w:t>
      </w:r>
    </w:p>
    <w:p>
      <w:pPr>
        <w:pStyle w:val="ListBullet"/>
      </w:pPr>
      <w:r>
        <w:t>Account and connection register; all subscriptions and monthly limits; renewal and expiry dates; approved permissions and data-flow map.</w:t>
      </w:r>
    </w:p>
    <w:p>
      <w:pPr>
        <w:pStyle w:val="ListBullet"/>
      </w:pPr>
      <w:r>
        <w:t>Source code and automation export; setup instructions; pinned configuration; data dictionary; scoring, prompt and template versions.</w:t>
      </w:r>
    </w:p>
    <w:p>
      <w:pPr>
        <w:pStyle w:val="ListBullet"/>
      </w:pPr>
      <w:r>
        <w:t>Backup and restore evidence; source reconciliation report; exception and controlled-replay instructions; sending pause and rollback procedure.</w:t>
      </w:r>
    </w:p>
    <w:p>
      <w:pPr>
        <w:pStyle w:val="ListBullet"/>
      </w:pPr>
      <w:r>
        <w:t>Owner and backup independently repeat a normal flow, expired-credential recovery and restoration using the runbook.</w:t>
      </w:r>
    </w:p>
    <w:p>
      <w:pPr>
        <w:pStyle w:val="ListBullet"/>
      </w:pPr>
      <w:r>
        <w:t>Revoke unnecessary contractor access, rotate temporary credentials and prove production still works. Agree the defect period and ongoing support contact.</w:t>
      </w:r>
    </w:p>
    <w:p>
      <w:r>
        <w:t>All vendor guidance was checked on 23 October 2026. Plans, labels and entitlements may change; confirm them in AAA’s accounts during discovery. This guide documents proposed setup work and does not represent a completed integration.</w:t>
      </w:r>
    </w:p>
    <w:sectPr w:rsidR="00FC693F" w:rsidRPr="0006063C" w:rsidSect="00034616">
      <w:headerReference w:type="default" r:id="rId9"/>
      <w:footerReference w:type="default" r:id="rId10"/>
      <w:pgSz w:w="12240" w:h="15840"/>
      <w:pgMar w:top="1008"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Draft for AAA review   •   23 October 2026</w:t>
    </w:r>
    <w:r>
      <w:rPr>
        <w:sz w:val="16"/>
      </w:rPr>
      <w:t xml:space="preserve">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ANIMAL ADVOCACY AFRICA   /   API SETUP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airtable.com/articles/9934989703-creating-personal-access-tokens" TargetMode="External"/><Relationship Id="rId12" Type="http://schemas.openxmlformats.org/officeDocument/2006/relationships/hyperlink" Target="https://support.airtable.com/articles/7043107100-service-accounts-overview" TargetMode="External"/><Relationship Id="rId13" Type="http://schemas.openxmlformats.org/officeDocument/2006/relationships/hyperlink" Target="https://support.airtable.com/articles/9157745778-airtable-workspace-settings-overview" TargetMode="External"/><Relationship Id="rId14" Type="http://schemas.openxmlformats.org/officeDocument/2006/relationships/hyperlink" Target="https://support.airtable.com/articles/7735693959-Managing-API-call-limits-in-Airtable" TargetMode="External"/><Relationship Id="rId15" Type="http://schemas.openxmlformats.org/officeDocument/2006/relationships/hyperlink" Target="https://developers.google.com/apps-script/guides/triggers/installable" TargetMode="External"/><Relationship Id="rId16" Type="http://schemas.openxmlformats.org/officeDocument/2006/relationships/hyperlink" Target="https://developers.google.com/apps-script/guides/services/quotas" TargetMode="External"/><Relationship Id="rId17" Type="http://schemas.openxmlformats.org/officeDocument/2006/relationships/hyperlink" Target="https://developers.google.com/workspace/forms/api/reference/rest" TargetMode="External"/><Relationship Id="rId18" Type="http://schemas.openxmlformats.org/officeDocument/2006/relationships/hyperlink" Target="https://developers.google.com/apps-script/guides/services/authorization" TargetMode="External"/><Relationship Id="rId19" Type="http://schemas.openxmlformats.org/officeDocument/2006/relationships/hyperlink" Target="https://developers.google.com/workspace/forms/api/guides/push-notifications" TargetMode="External"/><Relationship Id="rId20" Type="http://schemas.openxmlformats.org/officeDocument/2006/relationships/hyperlink" Target="https://support.thinkific.com/hc/en-us/articles/360052415534-How-to-Create-API-Access-Tokens" TargetMode="External"/><Relationship Id="rId21" Type="http://schemas.openxmlformats.org/officeDocument/2006/relationships/hyperlink" Target="https://developers.thinkific.com/" TargetMode="External"/><Relationship Id="rId22" Type="http://schemas.openxmlformats.org/officeDocument/2006/relationships/hyperlink" Target="https://platform.claude.com/docs/en/get-api-key" TargetMode="External"/><Relationship Id="rId23" Type="http://schemas.openxmlformats.org/officeDocument/2006/relationships/hyperlink" Target="https://platform.claude.com/docs/en/manage-claude/authentication" TargetMode="External"/><Relationship Id="rId24" Type="http://schemas.openxmlformats.org/officeDocument/2006/relationships/hyperlink" Target="https://support.claude.com/en/articles/9876003-i-have-a-paid-claude-subscription-pro-max-team-or-enterprise-plans-why-is-claude-api-usage-billed-separately-from-my-paid-claude-plan" TargetMode="External"/><Relationship Id="rId25" Type="http://schemas.openxmlformats.org/officeDocument/2006/relationships/hyperlink" Target="https://support.claude.com/en/articles/17154008-monthly-api-credits-for-max-and-team-plans" TargetMode="External"/><Relationship Id="rId26" Type="http://schemas.openxmlformats.org/officeDocument/2006/relationships/hyperlink" Target="https://mailchimp.com/developer/marketing/concepts/how-mailchimp-works" TargetMode="External"/><Relationship Id="rId27" Type="http://schemas.openxmlformats.org/officeDocument/2006/relationships/hyperlink" Target="https://mailchimp.com/developer/marketing/guides/quick-start/" TargetMode="External"/><Relationship Id="rId28" Type="http://schemas.openxmlformats.org/officeDocument/2006/relationships/hyperlink" Target="https://mailchimp.com/developer/transactional/guides/send-first-em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API SETUP GUIDE</dc:subject>
  <dc:creator>Vegan Hacktivists</dc:creator>
  <cp:keywords/>
  <dc:description>generated by python-docx</dc:description>
  <cp:lastModifiedBy/>
  <cp:revision>1</cp:revision>
  <dcterms:created xsi:type="dcterms:W3CDTF">2013-12-23T23:15:00Z</dcterms:created>
  <dcterms:modified xsi:type="dcterms:W3CDTF">2013-12-23T23:15:00Z</dcterms:modified>
  <cp:category/>
</cp:coreProperties>
</file>