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Pathways and advocate CRM product requirements</w:t>
      </w:r>
    </w:p>
    <w:p>
      <w:r>
        <w:t>Contractor brief   |   Version 0.1   |   Prepared by Vegan Hacktivists</w:t>
      </w:r>
    </w:p>
    <w:p>
      <w:r/>
      <w:r>
        <w:rPr>
          <w:b/>
        </w:rPr>
        <w:t>Proposed outcome.</w:t>
      </w:r>
      <w:r>
        <w:t xml:space="preserve"> Give AAA one reliable record for each advocate, connected to an always available Pathways course, assessment history, programme participation and follow-up. Staff should be able to see who needs support and analyse which assessment items predict later programme performance.</w:t>
      </w:r>
    </w:p>
    <w:p>
      <w:r>
        <w:t>This brief translates the 30 September scoping call into a proposed build. It is ready for AAA to review and for contractors to scope. Requirements labelled “must” describe the proposed acceptance baseline; they become contractual only when AAA approves the scope. Tool choices, thresholds, dates and owners remain proposals where indicated.</w:t>
      </w:r>
    </w:p>
    <w:p>
      <w:pPr>
        <w:pStyle w:val="Heading2"/>
      </w:pPr>
      <w:r>
        <w:t>What the call establishes</w:t>
      </w:r>
    </w:p>
    <w:p>
      <w:pPr>
        <w:pStyle w:val="ListBullet"/>
      </w:pPr>
      <w:r>
        <w:t>The CRM and Pathways course are the main work package. Data currently sits across application spreadsheets, course exports and Airtable.</w:t>
      </w:r>
    </w:p>
    <w:p>
      <w:pPr>
        <w:pStyle w:val="ListBullet"/>
      </w:pPr>
      <w:r>
        <w:t>Pathways has roughly six sections, mainly text, images and links. Spreadsheet assessments and a separate signup step created participant friction.</w:t>
      </w:r>
    </w:p>
    <w:p>
      <w:pPr>
        <w:pStyle w:val="ListBullet"/>
      </w:pPr>
      <w:r>
        <w:t>AAA needs item-level scores across applications and programmes, including changes in question wording and weights over time.</w:t>
      </w:r>
    </w:p>
    <w:p>
      <w:pPr>
        <w:pStyle w:val="ListBullet"/>
      </w:pPr>
      <w:r>
        <w:t>Thinkific was used for a pilot and the subscription had stopped by the call. Moritz is open to using it again. Google Forms is broadly sufficient.</w:t>
      </w:r>
    </w:p>
    <w:p>
      <w:pPr>
        <w:pStyle w:val="ListBullet"/>
      </w:pPr>
      <w:r>
        <w:t>Stuart is the proposed operational owner, subject to his agreement. Moritz cannot remain the implementer. Contractor handover is part of the solution.</w:t>
      </w:r>
    </w:p>
    <w:p>
      <w:pPr>
        <w:pStyle w:val="Heading2"/>
      </w:pPr>
      <w:r>
        <w:t>What to commission</w:t>
      </w:r>
    </w:p>
    <w:p>
      <w:r>
        <w:t>Commission a short discovery and integration proof first, followed by separately accepted milestones for the core CRM, Pathways workflow, reporting and handover. Price career advising separately. The full core scope is larger than a single assessment-to-record pilot; that pilot is the first proof within this specification.</w:t>
      </w:r>
    </w:p>
    <w:p>
      <w:r/>
      <w:r>
        <w:rPr>
          <w:b/>
        </w:rPr>
        <w:t>Read with:</w:t>
      </w:r>
      <w:r>
        <w:t xml:space="preserve"> Pathways and CRM API setup guide. The guide covers account ownership, credentials and connection checks. No accounts or integrations have been configured as part of these documents.</w:t>
      </w:r>
    </w:p>
    <w:p>
      <w:r>
        <w:t xml:space="preserve">Source: </w:t>
      </w:r>
      <w:hyperlink r:id="rId11">
        <w:r>
          <w:rPr>
            <w:color w:val="185080"/>
            <w:u w:val="single"/>
          </w:rPr>
          <w:t>AAA scoping call on 30 September 2026</w:t>
        </w:r>
      </w:hyperlink>
      <w:r>
        <w:t>. The archive has no per-turn timestamps. Course materials and the advising framework mentioned on the call have not been reviewed for this brief.</w:t>
      </w:r>
    </w:p>
    <w:p>
      <w:r>
        <w:br w:type="page"/>
      </w:r>
    </w:p>
    <w:p>
      <w:pPr>
        <w:pStyle w:val="Heading1"/>
      </w:pPr>
      <w:r>
        <w:t>The complete participant pipeline</w:t>
      </w:r>
    </w:p>
    <w:p>
      <w:r>
        <w:t>The CRM connects several entry routes. A direct fellowship applicant or existing programme alumnus can enter without taking Pathways. Course completion may unlock advising under a policy AAA approves; it must not silently become a universal requirement for every programme.</w:t>
      </w:r>
    </w:p>
    <w:tbl>
      <w:tblPr>
        <w:tblW w:type="auto" w:w="0"/>
        <w:jc w:val="center"/>
        <w:tblLayout w:type="fixed"/>
        <w:tblLook w:firstColumn="1" w:firstRow="1" w:lastColumn="0" w:lastRow="0" w:noHBand="0" w:noVBand="1" w:val="04A0"/>
      </w:tblPr>
      <w:tblGrid>
        <w:gridCol w:w="1699"/>
        <w:gridCol w:w="3528"/>
        <w:gridCol w:w="4853"/>
      </w:tblGrid>
      <w:tr>
        <w:trPr>
          <w:tblHeader/>
          <w:cantSplit/>
        </w:trPr>
        <w:tc>
          <w:tcPr>
            <w:tcW w:type="dxa" w:w="1699"/>
            <w:vAlign w:val="center"/>
            <w:tcMar>
              <w:top w:w="85" w:type="dxa"/>
              <w:left w:w="85" w:type="dxa"/>
              <w:bottom w:w="85" w:type="dxa"/>
              <w:right w:w="85" w:type="dxa"/>
            </w:tcMar>
            <w:shd w:fill="EDEDED"/>
          </w:tcPr>
          <w:p>
            <w:pPr>
              <w:spacing w:after="60" w:line="245" w:lineRule="auto"/>
            </w:pPr>
            <w:r>
              <w:rPr>
                <w:b/>
                <w:sz w:val="20"/>
              </w:rPr>
              <w:t>Stage</w:t>
            </w:r>
          </w:p>
        </w:tc>
        <w:tc>
          <w:tcPr>
            <w:tcW w:type="dxa" w:w="3528"/>
            <w:vAlign w:val="center"/>
            <w:tcMar>
              <w:top w:w="85" w:type="dxa"/>
              <w:left w:w="85" w:type="dxa"/>
              <w:bottom w:w="85" w:type="dxa"/>
              <w:right w:w="85" w:type="dxa"/>
            </w:tcMar>
            <w:shd w:fill="EDEDED"/>
          </w:tcPr>
          <w:p>
            <w:pPr>
              <w:spacing w:after="60" w:line="245" w:lineRule="auto"/>
            </w:pPr>
            <w:r>
              <w:rPr>
                <w:b/>
                <w:sz w:val="20"/>
              </w:rPr>
              <w:t>Participant experience</w:t>
            </w:r>
          </w:p>
        </w:tc>
        <w:tc>
          <w:tcPr>
            <w:tcW w:type="dxa" w:w="4853"/>
            <w:vAlign w:val="center"/>
            <w:tcMar>
              <w:top w:w="85" w:type="dxa"/>
              <w:left w:w="85" w:type="dxa"/>
              <w:bottom w:w="85" w:type="dxa"/>
              <w:right w:w="85" w:type="dxa"/>
            </w:tcMar>
            <w:shd w:fill="EDEDED"/>
          </w:tcPr>
          <w:p>
            <w:pPr>
              <w:spacing w:after="60" w:line="245" w:lineRule="auto"/>
            </w:pPr>
            <w:r>
              <w:rPr>
                <w:b/>
                <w:sz w:val="20"/>
              </w:rPr>
              <w:t>Record and staff action</w:t>
            </w:r>
          </w:p>
        </w:tc>
      </w:tr>
      <w:tr>
        <w:trPr>
          <w:cantSplit/>
        </w:trPr>
        <w:tc>
          <w:tcPr>
            <w:tcW w:type="dxa" w:w="1699"/>
            <w:vAlign w:val="center"/>
            <w:tcMar>
              <w:top w:w="85" w:type="dxa"/>
              <w:left w:w="85" w:type="dxa"/>
              <w:bottom w:w="85" w:type="dxa"/>
              <w:right w:w="85" w:type="dxa"/>
            </w:tcMar>
          </w:tcPr>
          <w:p>
            <w:pPr>
              <w:spacing w:after="60" w:line="245" w:lineRule="auto"/>
            </w:pPr>
            <w:r>
              <w:rPr>
                <w:b w:val="0"/>
                <w:sz w:val="20"/>
              </w:rPr>
              <w:t>Discover and join</w:t>
            </w:r>
          </w:p>
        </w:tc>
        <w:tc>
          <w:tcPr>
            <w:tcW w:type="dxa" w:w="3528"/>
            <w:vAlign w:val="center"/>
            <w:tcMar>
              <w:top w:w="85" w:type="dxa"/>
              <w:left w:w="85" w:type="dxa"/>
              <w:bottom w:w="85" w:type="dxa"/>
              <w:right w:w="85" w:type="dxa"/>
            </w:tcMar>
          </w:tcPr>
          <w:p>
            <w:pPr>
              <w:spacing w:after="60" w:line="245" w:lineRule="auto"/>
            </w:pPr>
            <w:r>
              <w:rPr>
                <w:b w:val="0"/>
                <w:sz w:val="20"/>
              </w:rPr>
              <w:t>Open one course signup link and receive a clear next step. Newsletter signup is separate.</w:t>
            </w:r>
          </w:p>
        </w:tc>
        <w:tc>
          <w:tcPr>
            <w:tcW w:type="dxa" w:w="4853"/>
            <w:vAlign w:val="center"/>
            <w:tcMar>
              <w:top w:w="85" w:type="dxa"/>
              <w:left w:w="85" w:type="dxa"/>
              <w:bottom w:w="85" w:type="dxa"/>
              <w:right w:w="85" w:type="dxa"/>
            </w:tcMar>
          </w:tcPr>
          <w:p>
            <w:pPr>
              <w:spacing w:after="60" w:line="245" w:lineRule="auto"/>
            </w:pPr>
            <w:r>
              <w:rPr>
                <w:b w:val="0"/>
                <w:sz w:val="20"/>
              </w:rPr>
              <w:t>Create or link an advocate and enrolment. Record source and communication permissions.</w:t>
            </w:r>
          </w:p>
        </w:tc>
      </w:tr>
      <w:tr>
        <w:trPr>
          <w:cantSplit/>
        </w:trPr>
        <w:tc>
          <w:tcPr>
            <w:tcW w:type="dxa" w:w="1699"/>
            <w:vAlign w:val="center"/>
            <w:tcMar>
              <w:top w:w="85" w:type="dxa"/>
              <w:left w:w="85" w:type="dxa"/>
              <w:bottom w:w="85" w:type="dxa"/>
              <w:right w:w="85" w:type="dxa"/>
            </w:tcMar>
          </w:tcPr>
          <w:p>
            <w:pPr>
              <w:spacing w:after="60" w:line="245" w:lineRule="auto"/>
            </w:pPr>
            <w:r>
              <w:rPr>
                <w:b w:val="0"/>
                <w:sz w:val="20"/>
              </w:rPr>
              <w:t>Learn and resume</w:t>
            </w:r>
          </w:p>
        </w:tc>
        <w:tc>
          <w:tcPr>
            <w:tcW w:type="dxa" w:w="3528"/>
            <w:vAlign w:val="center"/>
            <w:tcMar>
              <w:top w:w="85" w:type="dxa"/>
              <w:left w:w="85" w:type="dxa"/>
              <w:bottom w:w="85" w:type="dxa"/>
              <w:right w:w="85" w:type="dxa"/>
            </w:tcMar>
          </w:tcPr>
          <w:p>
            <w:pPr>
              <w:spacing w:after="60" w:line="245" w:lineRule="auto"/>
            </w:pPr>
            <w:r>
              <w:rPr>
                <w:b w:val="0"/>
                <w:sz w:val="20"/>
              </w:rPr>
              <w:t>Read sections on a phone and return to the last saved point.</w:t>
            </w:r>
          </w:p>
        </w:tc>
        <w:tc>
          <w:tcPr>
            <w:tcW w:type="dxa" w:w="4853"/>
            <w:vAlign w:val="center"/>
            <w:tcMar>
              <w:top w:w="85" w:type="dxa"/>
              <w:left w:w="85" w:type="dxa"/>
              <w:bottom w:w="85" w:type="dxa"/>
              <w:right w:w="85" w:type="dxa"/>
            </w:tcMar>
          </w:tcPr>
          <w:p>
            <w:pPr>
              <w:spacing w:after="60" w:line="245" w:lineRule="auto"/>
            </w:pPr>
            <w:r>
              <w:rPr>
                <w:b w:val="0"/>
                <w:sz w:val="20"/>
              </w:rPr>
              <w:t>Store course version, section progress and last meaningful activity.</w:t>
            </w:r>
          </w:p>
        </w:tc>
      </w:tr>
      <w:tr>
        <w:trPr>
          <w:cantSplit/>
        </w:trPr>
        <w:tc>
          <w:tcPr>
            <w:tcW w:type="dxa" w:w="1699"/>
            <w:vAlign w:val="center"/>
            <w:tcMar>
              <w:top w:w="85" w:type="dxa"/>
              <w:left w:w="85" w:type="dxa"/>
              <w:bottom w:w="85" w:type="dxa"/>
              <w:right w:w="85" w:type="dxa"/>
            </w:tcMar>
          </w:tcPr>
          <w:p>
            <w:pPr>
              <w:spacing w:after="60" w:line="245" w:lineRule="auto"/>
            </w:pPr>
            <w:r>
              <w:rPr>
                <w:b w:val="0"/>
                <w:sz w:val="20"/>
              </w:rPr>
              <w:t>Submit assessments</w:t>
            </w:r>
          </w:p>
        </w:tc>
        <w:tc>
          <w:tcPr>
            <w:tcW w:type="dxa" w:w="3528"/>
            <w:vAlign w:val="center"/>
            <w:tcMar>
              <w:top w:w="85" w:type="dxa"/>
              <w:left w:w="85" w:type="dxa"/>
              <w:bottom w:w="85" w:type="dxa"/>
              <w:right w:w="85" w:type="dxa"/>
            </w:tcMar>
          </w:tcPr>
          <w:p>
            <w:pPr>
              <w:spacing w:after="60" w:line="245" w:lineRule="auto"/>
            </w:pPr>
            <w:r>
              <w:rPr>
                <w:b w:val="0"/>
                <w:sz w:val="20"/>
              </w:rPr>
              <w:t>Use short forms with clear submission confirmation.</w:t>
            </w:r>
          </w:p>
        </w:tc>
        <w:tc>
          <w:tcPr>
            <w:tcW w:type="dxa" w:w="4853"/>
            <w:vAlign w:val="center"/>
            <w:tcMar>
              <w:top w:w="85" w:type="dxa"/>
              <w:left w:w="85" w:type="dxa"/>
              <w:bottom w:w="85" w:type="dxa"/>
              <w:right w:w="85" w:type="dxa"/>
            </w:tcMar>
          </w:tcPr>
          <w:p>
            <w:pPr>
              <w:spacing w:after="60" w:line="245" w:lineRule="auto"/>
            </w:pPr>
            <w:r>
              <w:rPr>
                <w:b w:val="0"/>
                <w:sz w:val="20"/>
              </w:rPr>
              <w:t>Link each attempt to the advocate, enrolment and exact assessment version.</w:t>
            </w:r>
          </w:p>
        </w:tc>
      </w:tr>
      <w:tr>
        <w:trPr>
          <w:cantSplit/>
        </w:trPr>
        <w:tc>
          <w:tcPr>
            <w:tcW w:type="dxa" w:w="1699"/>
            <w:vAlign w:val="center"/>
            <w:tcMar>
              <w:top w:w="85" w:type="dxa"/>
              <w:left w:w="85" w:type="dxa"/>
              <w:bottom w:w="85" w:type="dxa"/>
              <w:right w:w="85" w:type="dxa"/>
            </w:tcMar>
          </w:tcPr>
          <w:p>
            <w:pPr>
              <w:spacing w:after="60" w:line="245" w:lineRule="auto"/>
            </w:pPr>
            <w:r>
              <w:rPr>
                <w:b w:val="0"/>
                <w:sz w:val="20"/>
              </w:rPr>
              <w:t>Score and review</w:t>
            </w:r>
          </w:p>
        </w:tc>
        <w:tc>
          <w:tcPr>
            <w:tcW w:type="dxa" w:w="3528"/>
            <w:vAlign w:val="center"/>
            <w:tcMar>
              <w:top w:w="85" w:type="dxa"/>
              <w:left w:w="85" w:type="dxa"/>
              <w:bottom w:w="85" w:type="dxa"/>
              <w:right w:w="85" w:type="dxa"/>
            </w:tcMar>
          </w:tcPr>
          <w:p>
            <w:pPr>
              <w:spacing w:after="60" w:line="245" w:lineRule="auto"/>
            </w:pPr>
            <w:r>
              <w:rPr>
                <w:b w:val="0"/>
                <w:sz w:val="20"/>
              </w:rPr>
              <w:t>Receive only feedback approved for participants.</w:t>
            </w:r>
          </w:p>
        </w:tc>
        <w:tc>
          <w:tcPr>
            <w:tcW w:type="dxa" w:w="4853"/>
            <w:vAlign w:val="center"/>
            <w:tcMar>
              <w:top w:w="85" w:type="dxa"/>
              <w:left w:w="85" w:type="dxa"/>
              <w:bottom w:w="85" w:type="dxa"/>
              <w:right w:w="85" w:type="dxa"/>
            </w:tcMar>
          </w:tcPr>
          <w:p>
            <w:pPr>
              <w:spacing w:after="60" w:line="245" w:lineRule="auto"/>
            </w:pPr>
            <w:r>
              <w:rPr>
                <w:b w:val="0"/>
                <w:sz w:val="20"/>
              </w:rPr>
              <w:t>Calculate fixed scores; route free-text or AI suggestions for review where applicable.</w:t>
            </w:r>
          </w:p>
        </w:tc>
      </w:tr>
      <w:tr>
        <w:trPr>
          <w:cantSplit/>
        </w:trPr>
        <w:tc>
          <w:tcPr>
            <w:tcW w:type="dxa" w:w="1699"/>
            <w:vAlign w:val="center"/>
            <w:tcMar>
              <w:top w:w="85" w:type="dxa"/>
              <w:left w:w="85" w:type="dxa"/>
              <w:bottom w:w="85" w:type="dxa"/>
              <w:right w:w="85" w:type="dxa"/>
            </w:tcMar>
          </w:tcPr>
          <w:p>
            <w:pPr>
              <w:spacing w:after="60" w:line="245" w:lineRule="auto"/>
            </w:pPr>
            <w:r>
              <w:rPr>
                <w:b w:val="0"/>
                <w:sz w:val="20"/>
              </w:rPr>
              <w:t>Finish and follow up</w:t>
            </w:r>
          </w:p>
        </w:tc>
        <w:tc>
          <w:tcPr>
            <w:tcW w:type="dxa" w:w="3528"/>
            <w:vAlign w:val="center"/>
            <w:tcMar>
              <w:top w:w="85" w:type="dxa"/>
              <w:left w:w="85" w:type="dxa"/>
              <w:bottom w:w="85" w:type="dxa"/>
              <w:right w:w="85" w:type="dxa"/>
            </w:tcMar>
          </w:tcPr>
          <w:p>
            <w:pPr>
              <w:spacing w:after="60" w:line="245" w:lineRule="auto"/>
            </w:pPr>
            <w:r>
              <w:rPr>
                <w:b w:val="0"/>
                <w:sz w:val="20"/>
              </w:rPr>
              <w:t>Receive completion confirmation and an appropriate next step.</w:t>
            </w:r>
          </w:p>
        </w:tc>
        <w:tc>
          <w:tcPr>
            <w:tcW w:type="dxa" w:w="4853"/>
            <w:vAlign w:val="center"/>
            <w:tcMar>
              <w:top w:w="85" w:type="dxa"/>
              <w:left w:w="85" w:type="dxa"/>
              <w:bottom w:w="85" w:type="dxa"/>
              <w:right w:w="85" w:type="dxa"/>
            </w:tcMar>
          </w:tcPr>
          <w:p>
            <w:pPr>
              <w:spacing w:after="60" w:line="245" w:lineRule="auto"/>
            </w:pPr>
            <w:r>
              <w:rPr>
                <w:b w:val="0"/>
                <w:sz w:val="20"/>
              </w:rPr>
              <w:t>Record completion; apply approved reminder and referral rules.</w:t>
            </w:r>
          </w:p>
        </w:tc>
      </w:tr>
      <w:tr>
        <w:trPr>
          <w:cantSplit/>
        </w:trPr>
        <w:tc>
          <w:tcPr>
            <w:tcW w:type="dxa" w:w="1699"/>
            <w:vAlign w:val="center"/>
            <w:tcMar>
              <w:top w:w="85" w:type="dxa"/>
              <w:left w:w="85" w:type="dxa"/>
              <w:bottom w:w="85" w:type="dxa"/>
              <w:right w:w="85" w:type="dxa"/>
            </w:tcMar>
          </w:tcPr>
          <w:p>
            <w:pPr>
              <w:spacing w:after="60" w:line="245" w:lineRule="auto"/>
            </w:pPr>
            <w:r>
              <w:rPr>
                <w:b w:val="0"/>
                <w:sz w:val="20"/>
              </w:rPr>
              <w:t>Apply and participate</w:t>
            </w:r>
          </w:p>
        </w:tc>
        <w:tc>
          <w:tcPr>
            <w:tcW w:type="dxa" w:w="3528"/>
            <w:vAlign w:val="center"/>
            <w:tcMar>
              <w:top w:w="85" w:type="dxa"/>
              <w:left w:w="85" w:type="dxa"/>
              <w:bottom w:w="85" w:type="dxa"/>
              <w:right w:w="85" w:type="dxa"/>
            </w:tcMar>
          </w:tcPr>
          <w:p>
            <w:pPr>
              <w:spacing w:after="60" w:line="245" w:lineRule="auto"/>
            </w:pPr>
            <w:r>
              <w:rPr>
                <w:b w:val="0"/>
                <w:sz w:val="20"/>
              </w:rPr>
              <w:t>Apply separately to relevant programmes; receive human decisions.</w:t>
            </w:r>
          </w:p>
        </w:tc>
        <w:tc>
          <w:tcPr>
            <w:tcW w:type="dxa" w:w="4853"/>
            <w:vAlign w:val="center"/>
            <w:tcMar>
              <w:top w:w="85" w:type="dxa"/>
              <w:left w:w="85" w:type="dxa"/>
              <w:bottom w:w="85" w:type="dxa"/>
              <w:right w:w="85" w:type="dxa"/>
            </w:tcMar>
          </w:tcPr>
          <w:p>
            <w:pPr>
              <w:spacing w:after="60" w:line="245" w:lineRule="auto"/>
            </w:pPr>
            <w:r>
              <w:rPr>
                <w:b w:val="0"/>
                <w:sz w:val="20"/>
              </w:rPr>
              <w:t>Link application stages, selection scores, participation, attendance and outcomes.</w:t>
            </w:r>
          </w:p>
        </w:tc>
      </w:tr>
      <w:tr>
        <w:trPr>
          <w:cantSplit/>
        </w:trPr>
        <w:tc>
          <w:tcPr>
            <w:tcW w:type="dxa" w:w="1699"/>
            <w:vAlign w:val="center"/>
            <w:tcMar>
              <w:top w:w="85" w:type="dxa"/>
              <w:left w:w="85" w:type="dxa"/>
              <w:bottom w:w="85" w:type="dxa"/>
              <w:right w:w="85" w:type="dxa"/>
            </w:tcMar>
          </w:tcPr>
          <w:p>
            <w:pPr>
              <w:spacing w:after="60" w:line="245" w:lineRule="auto"/>
            </w:pPr>
            <w:r>
              <w:rPr>
                <w:b w:val="0"/>
                <w:sz w:val="20"/>
              </w:rPr>
              <w:t>Advise and learn</w:t>
            </w:r>
          </w:p>
        </w:tc>
        <w:tc>
          <w:tcPr>
            <w:tcW w:type="dxa" w:w="3528"/>
            <w:vAlign w:val="center"/>
            <w:tcMar>
              <w:top w:w="85" w:type="dxa"/>
              <w:left w:w="85" w:type="dxa"/>
              <w:bottom w:w="85" w:type="dxa"/>
              <w:right w:w="85" w:type="dxa"/>
            </w:tcMar>
          </w:tcPr>
          <w:p>
            <w:pPr>
              <w:spacing w:after="60" w:line="245" w:lineRule="auto"/>
            </w:pPr>
            <w:r>
              <w:rPr>
                <w:b w:val="0"/>
                <w:sz w:val="20"/>
              </w:rPr>
              <w:t>Optionally receive reviewed career guidance; correct information.</w:t>
            </w:r>
          </w:p>
        </w:tc>
        <w:tc>
          <w:tcPr>
            <w:tcW w:type="dxa" w:w="4853"/>
            <w:vAlign w:val="center"/>
            <w:tcMar>
              <w:top w:w="85" w:type="dxa"/>
              <w:left w:w="85" w:type="dxa"/>
              <w:bottom w:w="85" w:type="dxa"/>
              <w:right w:w="85" w:type="dxa"/>
            </w:tcMar>
          </w:tcPr>
          <w:p>
            <w:pPr>
              <w:spacing w:after="60" w:line="245" w:lineRule="auto"/>
            </w:pPr>
            <w:r>
              <w:rPr>
                <w:b w:val="0"/>
                <w:sz w:val="20"/>
              </w:rPr>
              <w:t>Use permitted data for advising; export longitudinal data for evaluation.</w:t>
            </w:r>
          </w:p>
        </w:tc>
      </w:tr>
    </w:tbl>
    <w:p>
      <w:pPr>
        <w:spacing w:after="0"/>
      </w:pPr>
    </w:p>
    <w:p>
      <w:pPr>
        <w:pStyle w:val="Heading2"/>
      </w:pPr>
      <w:r>
        <w:t>System flow</w:t>
      </w:r>
    </w:p>
    <w:p>
      <w:r>
        <w:t>Course and forms → validated intake queue → identity matching → advocate record and assessment history → deterministic scoring or human review → approved follow-up → dashboards and analysis export.</w:t>
      </w:r>
    </w:p>
    <w:p>
      <w:r>
        <w:t>A scheduled reconciliation checks source records against the CRM so missed events become visible. Optional AI advising reads only an approved subset of the participant record and research library, then returns a draft for review.</w:t>
      </w:r>
    </w:p>
    <w:p>
      <w:pPr>
        <w:pStyle w:val="Heading2"/>
      </w:pPr>
      <w:r>
        <w:t>Rules at the branch points</w:t>
      </w:r>
    </w:p>
    <w:p>
      <w:r>
        <w:t>AAA defines completion, retakes, selection criteria and advising eligibility. Store the rule version and the human decision separately from calculated scores. Failed synchronisation or a missing assessment must appear as “pending” or “needs review”; it must not become an automatic rejection.</w:t>
      </w:r>
    </w:p>
    <w:p>
      <w:r>
        <w:br w:type="page"/>
      </w:r>
    </w:p>
    <w:p>
      <w:pPr>
        <w:pStyle w:val="Heading1"/>
      </w:pPr>
      <w:r>
        <w:t>Core product requirements</w:t>
      </w:r>
    </w:p>
    <w:p>
      <w:pPr>
        <w:pStyle w:val="Heading2"/>
      </w:pPr>
      <w:r>
        <w:t>R01 Advocate records</w:t>
      </w:r>
    </w:p>
    <w:p>
      <w:r>
        <w:t>The system must provide one durable advocate ID, linked source IDs, contact details, programme history, communication preferences, current next action and owner. Search must show all linked enrolments and applications. Staff must resolve duplicates with a recorded merge decision and a way to correct a mistaken merge.</w:t>
      </w:r>
    </w:p>
    <w:p>
      <w:pPr>
        <w:pStyle w:val="Heading2"/>
      </w:pPr>
      <w:r>
        <w:t>R02 Pathways delivery</w:t>
      </w:r>
    </w:p>
    <w:p>
      <w:r>
        <w:t>Participants must join through one visible signup journey, access all published sections, save progress and resume on a phone. Content editors must update text, links and assessment mappings without developer help. A published course version remains identifiable; moving existing learners to a revision requires a recorded migration rule.</w:t>
      </w:r>
    </w:p>
    <w:p>
      <w:pPr>
        <w:pStyle w:val="Heading2"/>
      </w:pPr>
      <w:r>
        <w:t>R03 Assessments and scoring</w:t>
      </w:r>
    </w:p>
    <w:p>
      <w:r>
        <w:t>Forms must support multiple choice and short text, with zero, one or several assessments per section. Preserve each submission and retake. Calculate fixed scores using versioned formulas. Where AI scoring is approved, retain the suggestion, rubric version and reviewer decision. The system must distinguish a genuine zero from missing, invalid and unreviewed values.</w:t>
      </w:r>
    </w:p>
    <w:p>
      <w:pPr>
        <w:pStyle w:val="Heading2"/>
      </w:pPr>
      <w:r>
        <w:t>R04 Follow up and programme participation</w:t>
      </w:r>
    </w:p>
    <w:p>
      <w:r>
        <w:t>Staff must configure milestone and inactivity reminders, pause a participant’s messages and see delivery outcomes. Support programme applications with multiple stages and human decisions, plus participation, attendance and outcome records. Import current workflows before adding new screening automation.</w:t>
      </w:r>
    </w:p>
    <w:p>
      <w:pPr>
        <w:pStyle w:val="Heading2"/>
      </w:pPr>
      <w:r>
        <w:t>R05 Reporting and administration</w:t>
      </w:r>
    </w:p>
    <w:p>
      <w:r>
        <w:t>Provide progress, assessment, follow-up and data-quality views, plus a documented export for item-to-outcome analysis. The owner and backup must be able to change approved rules, resolve failed events, export records and rotate connections. Access must follow the permissions in this brief.</w:t>
      </w:r>
    </w:p>
    <w:p>
      <w:pPr>
        <w:pStyle w:val="Heading2"/>
      </w:pPr>
      <w:r>
        <w:t>Scope boundaries</w:t>
      </w:r>
    </w:p>
    <w:p>
      <w:r>
        <w:t>The core launch includes one Pathways course, agreed live assessment integrations, a bounded historical import, programme history, reminders and reporting. Discovery must list the exact source files, forms, programmes and periods included. Other sources are separately priced.</w:t>
      </w:r>
    </w:p>
    <w:p>
      <w:r>
        <w:t>Separately priced options: AI career guidance, public resource refreshes and participant introductions. Shared task management, donor CRM migration, community forums, open chat, automated final selection and model fine-tuning are outside the core contract. Existing donor and public-resource bases can remain separate.</w:t>
      </w:r>
    </w:p>
    <w:p>
      <w:r>
        <w:br w:type="page"/>
      </w:r>
    </w:p>
    <w:p>
      <w:pPr>
        <w:pStyle w:val="Heading1"/>
      </w:pPr>
      <w:r>
        <w:t>Data model and identity</w:t>
      </w:r>
    </w:p>
    <w:p>
      <w:r>
        <w:t>Use linked records or equivalent database relationships. Email is a contact method, not the permanent person key. Keep original source references so staff can trace every imported score and repair incorrect links.</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85" w:type="dxa"/>
              <w:left w:w="85" w:type="dxa"/>
              <w:bottom w:w="85" w:type="dxa"/>
              <w:right w:w="85" w:type="dxa"/>
            </w:tcMar>
            <w:shd w:fill="EDEDED"/>
          </w:tcPr>
          <w:p>
            <w:pPr>
              <w:spacing w:after="60" w:line="245" w:lineRule="auto"/>
            </w:pPr>
            <w:r>
              <w:rPr>
                <w:b/>
                <w:sz w:val="20"/>
              </w:rPr>
              <w:t>Record</w:t>
            </w:r>
          </w:p>
        </w:tc>
        <w:tc>
          <w:tcPr>
            <w:tcW w:type="dxa" w:w="7704"/>
            <w:vAlign w:val="center"/>
            <w:tcMar>
              <w:top w:w="85" w:type="dxa"/>
              <w:left w:w="85" w:type="dxa"/>
              <w:bottom w:w="85" w:type="dxa"/>
              <w:right w:w="85" w:type="dxa"/>
            </w:tcMar>
            <w:shd w:fill="EDEDED"/>
          </w:tcPr>
          <w:p>
            <w:pPr>
              <w:spacing w:after="60" w:line="245" w:lineRule="auto"/>
            </w:pPr>
            <w:r>
              <w:rPr>
                <w:b/>
                <w:sz w:val="20"/>
              </w:rPr>
              <w:t>Minimum contents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Advocate and source identity</w:t>
            </w:r>
          </w:p>
        </w:tc>
        <w:tc>
          <w:tcPr>
            <w:tcW w:type="dxa" w:w="7704"/>
            <w:vAlign w:val="center"/>
            <w:tcMar>
              <w:top w:w="85" w:type="dxa"/>
              <w:left w:w="85" w:type="dxa"/>
              <w:bottom w:w="85" w:type="dxa"/>
              <w:right w:w="85" w:type="dxa"/>
            </w:tcMar>
          </w:tcPr>
          <w:p>
            <w:pPr>
              <w:spacing w:after="60" w:line="245" w:lineRule="auto"/>
            </w:pPr>
            <w:r>
              <w:rPr>
                <w:b w:val="0"/>
                <w:sz w:val="20"/>
              </w:rPr>
              <w:t>advocate_id; name; contact methods; country where needed; source system and source person ID; identity review status.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Permission record</w:t>
            </w:r>
          </w:p>
        </w:tc>
        <w:tc>
          <w:tcPr>
            <w:tcW w:type="dxa" w:w="7704"/>
            <w:vAlign w:val="center"/>
            <w:tcMar>
              <w:top w:w="85" w:type="dxa"/>
              <w:left w:w="85" w:type="dxa"/>
              <w:bottom w:w="85" w:type="dxa"/>
              <w:right w:w="85" w:type="dxa"/>
            </w:tcMar>
          </w:tcPr>
          <w:p>
            <w:pPr>
              <w:spacing w:after="60" w:line="245" w:lineRule="auto"/>
            </w:pPr>
            <w:r>
              <w:rPr>
                <w:b w:val="0"/>
                <w:sz w:val="20"/>
              </w:rPr>
              <w:t>Person; purpose and channel; granted or withdrawn status; recorded time; notice version and source. Separate marketing from programme messages and AI use.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Programme and enrolment</w:t>
            </w:r>
          </w:p>
        </w:tc>
        <w:tc>
          <w:tcPr>
            <w:tcW w:type="dxa" w:w="7704"/>
            <w:vAlign w:val="center"/>
            <w:tcMar>
              <w:top w:w="85" w:type="dxa"/>
              <w:left w:w="85" w:type="dxa"/>
              <w:bottom w:w="85" w:type="dxa"/>
              <w:right w:w="85" w:type="dxa"/>
            </w:tcMar>
          </w:tcPr>
          <w:p>
            <w:pPr>
              <w:spacing w:after="60" w:line="245" w:lineRule="auto"/>
            </w:pPr>
            <w:r>
              <w:rPr>
                <w:b w:val="0"/>
                <w:sz w:val="20"/>
              </w:rPr>
              <w:t>Programme ID; course or programme version; cohort if relevant; advocate; start and completion times; current status.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Assessment item and version</w:t>
            </w:r>
          </w:p>
        </w:tc>
        <w:tc>
          <w:tcPr>
            <w:tcW w:type="dxa" w:w="7704"/>
            <w:vAlign w:val="center"/>
            <w:tcMar>
              <w:top w:w="85" w:type="dxa"/>
              <w:left w:w="85" w:type="dxa"/>
              <w:bottom w:w="85" w:type="dxa"/>
              <w:right w:w="85" w:type="dxa"/>
            </w:tcMar>
          </w:tcPr>
          <w:p>
            <w:pPr>
              <w:spacing w:after="60" w:line="245" w:lineRule="auto"/>
            </w:pPr>
            <w:r>
              <w:rPr>
                <w:b w:val="0"/>
                <w:sz w:val="20"/>
              </w:rPr>
              <w:t>Stable item code; version ID; exact wording; response type; construct measured; score range; rubric; effective date. Link related versions explicitly.</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Submission and response</w:t>
            </w:r>
          </w:p>
        </w:tc>
        <w:tc>
          <w:tcPr>
            <w:tcW w:type="dxa" w:w="7704"/>
            <w:vAlign w:val="center"/>
            <w:tcMar>
              <w:top w:w="85" w:type="dxa"/>
              <w:left w:w="85" w:type="dxa"/>
              <w:bottom w:w="85" w:type="dxa"/>
              <w:right w:w="85" w:type="dxa"/>
            </w:tcMar>
          </w:tcPr>
          <w:p>
            <w:pPr>
              <w:spacing w:after="60" w:line="245" w:lineRule="auto"/>
            </w:pPr>
            <w:r>
              <w:rPr>
                <w:b w:val="0"/>
                <w:sz w:val="20"/>
              </w:rPr>
              <w:t>Submission ID; advocate and enrolment; assessment version; attempt; item version; raw answer; source reference; submission time.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Score and review</w:t>
            </w:r>
          </w:p>
        </w:tc>
        <w:tc>
          <w:tcPr>
            <w:tcW w:type="dxa" w:w="7704"/>
            <w:vAlign w:val="center"/>
            <w:tcMar>
              <w:top w:w="85" w:type="dxa"/>
              <w:left w:w="85" w:type="dxa"/>
              <w:bottom w:w="85" w:type="dxa"/>
              <w:right w:w="85" w:type="dxa"/>
            </w:tcMar>
          </w:tcPr>
          <w:p>
            <w:pPr>
              <w:spacing w:after="60" w:line="245" w:lineRule="auto"/>
            </w:pPr>
            <w:r>
              <w:rPr>
                <w:b w:val="0"/>
                <w:sz w:val="20"/>
              </w:rPr>
              <w:t>Response or stage; raw and derived score; formula or rubric version; human or AI origin; review state; reviewer; override reason.</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Application and outcome</w:t>
            </w:r>
          </w:p>
        </w:tc>
        <w:tc>
          <w:tcPr>
            <w:tcW w:type="dxa" w:w="7704"/>
            <w:vAlign w:val="center"/>
            <w:tcMar>
              <w:top w:w="85" w:type="dxa"/>
              <w:left w:w="85" w:type="dxa"/>
              <w:bottom w:w="85" w:type="dxa"/>
              <w:right w:w="85" w:type="dxa"/>
            </w:tcMar>
          </w:tcPr>
          <w:p>
            <w:pPr>
              <w:spacing w:after="60" w:line="245" w:lineRule="auto"/>
            </w:pPr>
            <w:r>
              <w:rPr>
                <w:b w:val="0"/>
                <w:sz w:val="20"/>
              </w:rPr>
              <w:t>Programme and advocate; selection stage; decision and approver; participation or attendance events; outcome definition, date and evidence.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Message and processing event</w:t>
            </w:r>
          </w:p>
        </w:tc>
        <w:tc>
          <w:tcPr>
            <w:tcW w:type="dxa" w:w="7704"/>
            <w:vAlign w:val="center"/>
            <w:tcMar>
              <w:top w:w="85" w:type="dxa"/>
              <w:left w:w="85" w:type="dxa"/>
              <w:bottom w:w="85" w:type="dxa"/>
              <w:right w:w="85" w:type="dxa"/>
            </w:tcMar>
          </w:tcPr>
          <w:p>
            <w:pPr>
              <w:spacing w:after="60" w:line="245" w:lineRule="auto"/>
            </w:pPr>
            <w:r>
              <w:rPr>
                <w:b w:val="0"/>
                <w:sz w:val="20"/>
              </w:rPr>
              <w:t>Rule and template version; recipient ID; scheduled and sent times; delivery/suppression state. Event ID; source; revision; processing state; attempts; error category.</w:t>
            </w:r>
          </w:p>
        </w:tc>
      </w:tr>
    </w:tbl>
    <w:p>
      <w:pPr>
        <w:spacing w:after="0"/>
      </w:pPr>
    </w:p>
    <w:p>
      <w:pPr>
        <w:pStyle w:val="Heading2"/>
      </w:pPr>
      <w:r>
        <w:t>Safe matching rules</w:t>
      </w:r>
    </w:p>
    <w:p>
      <w:r>
        <w:t>First match a trusted source ID already mapped to an advocate. For a new source, verified email can suggest a match only under an approved rule; shared emails and conflicting records require review. Never merge by name alone. Changed emails require verified confirmation or staff resolution. A prefilled form ID is editable and must not count as authentication.</w:t>
      </w:r>
    </w:p>
    <w:p>
      <w:r>
        <w:t>Assign an internal ID before creating dependent records. Keep unknown matches in a restricted queue. Document field types, required values, allowed states, uniqueness checks, access and retention. Protect the source-ID mapping from concurrent duplicate creation.</w:t>
      </w:r>
    </w:p>
    <w:p>
      <w:r>
        <w:br w:type="page"/>
      </w:r>
    </w:p>
    <w:p>
      <w:pPr>
        <w:pStyle w:val="Heading1"/>
      </w:pPr>
      <w:r>
        <w:t>Assessment history and programme evaluation</w:t>
      </w:r>
    </w:p>
    <w:p>
      <w:pPr>
        <w:pStyle w:val="Heading2"/>
      </w:pPr>
      <w:r>
        <w:t>Preserve what each score meant</w:t>
      </w:r>
    </w:p>
    <w:p>
      <w:r>
        <w:t>AAA described item codes such as FO7 and KC1, asked in different processes and sometimes reworded between years. Store the item family and the precise version separately. A wording, scale, rubric or weight change creates a new version; it must not rewrite earlier results.</w:t>
      </w:r>
    </w:p>
    <w:p>
      <w:r>
        <w:t>For example, an advocate may answer FO7 version A in Pathways, then version B in a later application. Both responses remain attached to that advocate, each with its original question and scoring rule. Reporting can compare them only through an explicitly approved mapping.</w:t>
      </w:r>
    </w:p>
    <w:p>
      <w:r>
        <w:t>Fixed arithmetic belongs in formulas or tested code. Keep raw answers, original scores and derived aggregates distinct. Recalculation creates a new result with the formula version, time and reason; it preserves the original. Repeated attempts follow an agreed first, latest, best or all-attempts policy.</w:t>
      </w:r>
    </w:p>
    <w:p>
      <w:pPr>
        <w:pStyle w:val="Heading2"/>
      </w:pPr>
      <w:r>
        <w:t>Required staff views</w:t>
      </w:r>
    </w:p>
    <w:p>
      <w:pPr>
        <w:pStyle w:val="ListBullet"/>
      </w:pPr>
      <w:r>
        <w:t>Funnel: joined, started, active, inactive and completed, filtered by course version, entry period, country where available and programme.</w:t>
      </w:r>
    </w:p>
    <w:p>
      <w:pPr>
        <w:pStyle w:val="ListBullet"/>
      </w:pPr>
      <w:r>
        <w:t>Follow-up: due actions, overdue reviews, suppressed messages and missing or failed source events.</w:t>
      </w:r>
    </w:p>
    <w:p>
      <w:pPr>
        <w:pStyle w:val="ListBullet"/>
      </w:pPr>
      <w:r>
        <w:t>Assessment: attempts and reviewed scores by item, item version and programme, with missing-data counts.</w:t>
      </w:r>
    </w:p>
    <w:p>
      <w:pPr>
        <w:pStyle w:val="ListBullet"/>
      </w:pPr>
      <w:r>
        <w:t>Evaluation export: application item scores linked to subsequent programme assessment or engagement outcomes, with source and version columns.</w:t>
      </w:r>
    </w:p>
    <w:p>
      <w:pPr>
        <w:pStyle w:val="Heading2"/>
      </w:pPr>
      <w:r>
        <w:t>Definitions and analysis limits</w:t>
      </w:r>
    </w:p>
    <w:p>
      <w:r>
        <w:t>The contractor must supply a metric dictionary: numerator, denominator, date window, eligible population and status definitions for every chart. Signups, starts and completions are different measures. Label incomplete reporting periods and show missingness. Do not silently combine incompatible item versions.</w:t>
      </w:r>
    </w:p>
    <w:p>
      <w:r>
        <w:t>AAA’s evaluation owner defines the outcome and analysis method. An export or reproducible notebook can support correlation analysis without building a custom statistics dashboard. Include sample size, repeated participants and the fact that outcomes are observed mainly for selected applicants. Associations alone do not establish causation or justify automatic changes to selection weights.</w:t>
      </w:r>
    </w:p>
    <w:p>
      <w:pPr>
        <w:pStyle w:val="Heading2"/>
      </w:pPr>
      <w:r>
        <w:t>Capacity check before choosing Airtable</w:t>
      </w:r>
    </w:p>
    <w:p>
      <w:r>
        <w:t>Size assessment records, not just people. As an illustrative design calculation, 1,000 learners × 6 assessments × 12 item responses produces 72,000 response records before adding enrolments, scores or event logs. This is not an AAA forecast. The contractor must estimate actual storage and usage before recommending the database plan.</w:t>
      </w:r>
    </w:p>
    <w:p>
      <w:r>
        <w:br w:type="page"/>
      </w:r>
    </w:p>
    <w:p>
      <w:pPr>
        <w:pStyle w:val="Heading1"/>
      </w:pPr>
      <w:r>
        <w:t>Architecture and integration contract</w:t>
      </w:r>
    </w:p>
    <w:p>
      <w:pPr>
        <w:pStyle w:val="Heading2"/>
      </w:pPr>
      <w:r>
        <w:t>Recommended starting architecture</w:t>
      </w:r>
    </w:p>
    <w:p>
      <w:r>
        <w:t>Test an existing course platform, Google Forms, an Airtable advocate base and one automation service or small integration service. Keep one canonical store for each field. A Claude connector can help staff inspect approved data, but unattended processing must run independently of anyone opening a chat.</w:t>
      </w:r>
    </w:p>
    <w:p>
      <w:r>
        <w:t>Retain Thinkific if the required account, progress and assessment data can be obtained on an affordable plan and the mobile journey works. Before replacing it, demonstrate the specific requirement it cannot meet. A custom course front end requires a separate allowance for login, recovery, content editing, progress, security maintenance and support.</w:t>
      </w:r>
    </w:p>
    <w:p>
      <w:r>
        <w:t>Use Airtable only if the projected relational record volume, permissions, exports and analysis work on the proposed plan. If it fails that proof, quote a managed relational database with a simple staff interface. Avoid two competing master CRMs; record the migration path and who can maintain the chosen database.</w:t>
      </w:r>
    </w:p>
    <w:p>
      <w:pPr>
        <w:pStyle w:val="Heading2"/>
      </w:pPr>
      <w:r>
        <w:t>One contract for every incoming event</w:t>
      </w:r>
    </w:p>
    <w:p>
      <w:r>
        <w:t>Each event needs source system, source event or response ID, revision or payload hash, event type, observed time in UTC, source timestamp, participant reference and schema version. Record receipt before acknowledging delivery. Validate it, match identity, persist source data, calculate approved derivatives, then queue any follow-up.</w:t>
      </w:r>
    </w:p>
    <w:p>
      <w:r>
        <w:t>Replaying the same event must not create another submission or message. An edited response is a new revision, not a duplicate. Apply status changes using source ordering rules; an older event must not undo a newer completion or staff decision. Use a keyed lock, serial queue or database uniqueness constraint appropriate to the platform.</w:t>
      </w:r>
    </w:p>
    <w:p>
      <w:pPr>
        <w:pStyle w:val="Heading2"/>
      </w:pPr>
      <w:r>
        <w:t>Failures and recovery</w:t>
      </w:r>
    </w:p>
    <w:p>
      <w:pPr>
        <w:pStyle w:val="ListBullet"/>
      </w:pPr>
      <w:r>
        <w:t>Retry temporary failures with bounded backoff and rate-limit handling. Stop repeated authentication or schema errors and alert the owner.</w:t>
      </w:r>
    </w:p>
    <w:p>
      <w:pPr>
        <w:pStyle w:val="ListBullet"/>
      </w:pPr>
      <w:r>
        <w:t>Keep unresolved events in a durable exception queue with attempt count and reason. Provide controlled replay after a fix.</w:t>
      </w:r>
    </w:p>
    <w:p>
      <w:pPr>
        <w:pStyle w:val="ListBullet"/>
      </w:pPr>
      <w:r>
        <w:t>Run scheduled reconciliation from source records or exports; show source counts, processed counts, gaps and last successful check.</w:t>
      </w:r>
    </w:p>
    <w:p>
      <w:pPr>
        <w:pStyle w:val="ListBullet"/>
      </w:pPr>
      <w:r>
        <w:t>Keep provider message IDs and an outbox state. On an ambiguous send timeout, check provider status or queue for review before resending.</w:t>
      </w:r>
    </w:p>
    <w:p>
      <w:r>
        <w:t>The contractor must prove the available Thinkific events and endpoints; course-completion signals do not establish access to individual assessment answers. Official API setup references are in the companion guide.</w:t>
      </w:r>
    </w:p>
    <w:p>
      <w:r>
        <w:br w:type="page"/>
      </w:r>
    </w:p>
    <w:p>
      <w:pPr>
        <w:pStyle w:val="Heading1"/>
      </w:pPr>
      <w:r>
        <w:t>Participant experience and data controls</w:t>
      </w:r>
    </w:p>
    <w:p>
      <w:pPr>
        <w:pStyle w:val="Heading2"/>
      </w:pPr>
      <w:r>
        <w:t>Mobile course experience</w:t>
      </w:r>
    </w:p>
    <w:p>
      <w:r>
        <w:t>Support a 360-pixel-wide phone screen without horizontal scrolling. Use labelled fields, visible errors, keyboard access and readable contrast. Keep videos optional where the content permits and avoid autoplay. Confirm the actual phones, browsers and connectivity used by the pilot group during discovery.</w:t>
      </w:r>
    </w:p>
    <w:p>
      <w:r>
        <w:t>Participants must see which section and assessment they are on, whether a submission succeeded and how to return later. A reload or interrupted connection must not produce a false success. Test form transitions and returning sessions end to end. No spreadsheet skills should be required to complete the revised course.</w:t>
      </w:r>
    </w:p>
    <w:p>
      <w:pPr>
        <w:pStyle w:val="Heading2"/>
      </w:pPr>
      <w:r>
        <w:t>Messages and referrals</w:t>
      </w:r>
    </w:p>
    <w:p>
      <w:r>
        <w:t>Use approved rules such as enrolment confirmation, completion and inactivity after an agreed interval. Each message needs a purpose, owner, template and suppression conditions. Recheck current progress and preferences immediately before sending; stop obsolete reminders after completion or withdrawal. Agree frequency caps and quiet hours.</w:t>
      </w:r>
    </w:p>
    <w:p>
      <w:r>
        <w:t>Do not publish an advocate directory or share contact details by default. Participant introductions are an optional later feature requiring consent from the people involved. Marketing enrolment must remain separate from course access.</w:t>
      </w:r>
    </w:p>
    <w:p>
      <w:pPr>
        <w:pStyle w:val="Heading2"/>
      </w:pPr>
      <w:r>
        <w:t>Permissions and participant requests</w:t>
      </w:r>
    </w:p>
    <w:p>
      <w:r>
        <w:t>The programme team needs permitted contact, progress and follow-up fields. Assessment reviewers need assigned responses and rubrics. Evaluation staff should use pseudonymous exports where possible. Communications staff need the approved mailing subset. Contractors get time-limited access to the required sources; public users must never access the CRM directly.</w:t>
      </w:r>
    </w:p>
    <w:p>
      <w:r>
        <w:t>AAA must approve the data purposes, notices, retention periods, processors and permitted AI use before real-data testing. This brief does not establish the applicable jurisdiction or a lawful basis. Keep interview transcripts and detailed personal notes in restricted storage; include only necessary references and approved fields in the CRM.</w:t>
      </w:r>
    </w:p>
    <w:p>
      <w:r>
        <w:t>Support correction, re-review and deletion requests across source copies, the CRM, automation queues, exports and any AI outputs. Define permitted retention exceptions and how backups age out. A minimal suppression mechanism should prevent a deleted record being recreated by an old import, while retaining only what AAA has approved for that purpose.</w:t>
      </w:r>
    </w:p>
    <w:p>
      <w:pPr>
        <w:pStyle w:val="Heading2"/>
      </w:pPr>
      <w:r>
        <w:t>Backups and continuity</w:t>
      </w:r>
    </w:p>
    <w:p>
      <w:r>
        <w:t>Agree backup frequency and recovery targets before launch. Exports must include related tables, identifiers, versions, formulas and configuration needed for restoration. A file export alone is insufficient: demonstrate recovery into a test environment and verify the record links. Keep a manual fallback for intake and follow-up during an outage.</w:t>
      </w:r>
    </w:p>
    <w:p>
      <w:r>
        <w:br w:type="page"/>
      </w:r>
    </w:p>
    <w:p>
      <w:pPr>
        <w:pStyle w:val="Heading1"/>
      </w:pPr>
      <w:r>
        <w:t>Acceptance tests for the core build</w:t>
      </w:r>
    </w:p>
    <w:p>
      <w:r>
        <w:t>These are proposed contract tests. AAA and the contractor must agree the test dataset, supported devices and numeric targets before implementation. Use fictional data first; real participant data requires AAA’s approved access and safeguards.</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85" w:type="dxa"/>
              <w:left w:w="85" w:type="dxa"/>
              <w:bottom w:w="85" w:type="dxa"/>
              <w:right w:w="85" w:type="dxa"/>
            </w:tcMar>
            <w:shd w:fill="EDEDED"/>
          </w:tcPr>
          <w:p>
            <w:pPr>
              <w:spacing w:after="60" w:line="245" w:lineRule="auto"/>
            </w:pPr>
            <w:r>
              <w:rPr>
                <w:b/>
                <w:sz w:val="20"/>
              </w:rPr>
              <w:t>Test</w:t>
            </w:r>
          </w:p>
        </w:tc>
        <w:tc>
          <w:tcPr>
            <w:tcW w:type="dxa" w:w="7704"/>
            <w:vAlign w:val="center"/>
            <w:tcMar>
              <w:top w:w="85" w:type="dxa"/>
              <w:left w:w="85" w:type="dxa"/>
              <w:bottom w:w="85" w:type="dxa"/>
              <w:right w:w="85" w:type="dxa"/>
            </w:tcMar>
            <w:shd w:fill="EDEDED"/>
          </w:tcPr>
          <w:p>
            <w:pPr>
              <w:spacing w:after="60" w:line="245" w:lineRule="auto"/>
            </w:pPr>
            <w:r>
              <w:rPr>
                <w:b/>
                <w:sz w:val="20"/>
              </w:rPr>
              <w:t>Pass condition</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A01 Join and resume</w:t>
            </w:r>
          </w:p>
        </w:tc>
        <w:tc>
          <w:tcPr>
            <w:tcW w:type="dxa" w:w="7704"/>
            <w:vAlign w:val="center"/>
            <w:tcMar>
              <w:top w:w="85" w:type="dxa"/>
              <w:left w:w="85" w:type="dxa"/>
              <w:bottom w:w="85" w:type="dxa"/>
              <w:right w:w="85" w:type="dxa"/>
            </w:tcMar>
          </w:tcPr>
          <w:p>
            <w:pPr>
              <w:spacing w:after="60" w:line="245" w:lineRule="auto"/>
            </w:pPr>
            <w:r>
              <w:rPr>
                <w:b w:val="0"/>
                <w:sz w:val="20"/>
              </w:rPr>
              <w:t>A new participant reaches section one through one signup journey, submits an assessment and resumes correctly on an agreed phone.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A02 Match and duplicates</w:t>
            </w:r>
          </w:p>
        </w:tc>
        <w:tc>
          <w:tcPr>
            <w:tcW w:type="dxa" w:w="7704"/>
            <w:vAlign w:val="center"/>
            <w:tcMar>
              <w:top w:w="85" w:type="dxa"/>
              <w:left w:w="85" w:type="dxa"/>
              <w:bottom w:w="85" w:type="dxa"/>
              <w:right w:w="85" w:type="dxa"/>
            </w:tcMar>
          </w:tcPr>
          <w:p>
            <w:pPr>
              <w:spacing w:after="60" w:line="245" w:lineRule="auto"/>
            </w:pPr>
            <w:r>
              <w:rPr>
                <w:b w:val="0"/>
                <w:sz w:val="20"/>
              </w:rPr>
              <w:t>Trusted repeat sources link to one advocate. Same-name, shared-email and changed-email cases are reviewed safely; no incorrect automatic merges.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A03 Retakes and versions</w:t>
            </w:r>
          </w:p>
        </w:tc>
        <w:tc>
          <w:tcPr>
            <w:tcW w:type="dxa" w:w="7704"/>
            <w:vAlign w:val="center"/>
            <w:tcMar>
              <w:top w:w="85" w:type="dxa"/>
              <w:left w:w="85" w:type="dxa"/>
              <w:bottom w:w="85" w:type="dxa"/>
              <w:right w:w="85" w:type="dxa"/>
            </w:tcMar>
          </w:tcPr>
          <w:p>
            <w:pPr>
              <w:spacing w:after="60" w:line="245" w:lineRule="auto"/>
            </w:pPr>
            <w:r>
              <w:rPr>
                <w:b w:val="0"/>
                <w:sz w:val="20"/>
              </w:rPr>
              <w:t>Original attempt remains readable after a retake, question edit and changed scoring weights. Every score resolves to its exact rule.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A04 Event replay and ordering</w:t>
            </w:r>
          </w:p>
        </w:tc>
        <w:tc>
          <w:tcPr>
            <w:tcW w:type="dxa" w:w="7704"/>
            <w:vAlign w:val="center"/>
            <w:tcMar>
              <w:top w:w="85" w:type="dxa"/>
              <w:left w:w="85" w:type="dxa"/>
              <w:bottom w:w="85" w:type="dxa"/>
              <w:right w:w="85" w:type="dxa"/>
            </w:tcMar>
          </w:tcPr>
          <w:p>
            <w:pPr>
              <w:spacing w:after="60" w:line="245" w:lineRule="auto"/>
            </w:pPr>
            <w:r>
              <w:rPr>
                <w:b w:val="0"/>
                <w:sz w:val="20"/>
              </w:rPr>
              <w:t>Replaying events, concurrent delivery and delayed events produce no duplicate records, regressed status or duplicate messages.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A05 Failure and recovery</w:t>
            </w:r>
          </w:p>
        </w:tc>
        <w:tc>
          <w:tcPr>
            <w:tcW w:type="dxa" w:w="7704"/>
            <w:vAlign w:val="center"/>
            <w:tcMar>
              <w:top w:w="85" w:type="dxa"/>
              <w:left w:w="85" w:type="dxa"/>
              <w:bottom w:w="85" w:type="dxa"/>
              <w:right w:w="85" w:type="dxa"/>
            </w:tcMar>
          </w:tcPr>
          <w:p>
            <w:pPr>
              <w:spacing w:after="60" w:line="245" w:lineRule="auto"/>
            </w:pPr>
            <w:r>
              <w:rPr>
                <w:b w:val="0"/>
                <w:sz w:val="20"/>
              </w:rPr>
              <w:t>Expired token, rate limit, source outage and malformed payload enter the right retry or exception path; replay restores the correct state.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A06 Missed event</w:t>
            </w:r>
          </w:p>
        </w:tc>
        <w:tc>
          <w:tcPr>
            <w:tcW w:type="dxa" w:w="7704"/>
            <w:vAlign w:val="center"/>
            <w:tcMar>
              <w:top w:w="85" w:type="dxa"/>
              <w:left w:w="85" w:type="dxa"/>
              <w:bottom w:w="85" w:type="dxa"/>
              <w:right w:w="85" w:type="dxa"/>
            </w:tcMar>
          </w:tcPr>
          <w:p>
            <w:pPr>
              <w:spacing w:after="60" w:line="245" w:lineRule="auto"/>
            </w:pPr>
            <w:r>
              <w:rPr>
                <w:b w:val="0"/>
                <w:sz w:val="20"/>
              </w:rPr>
              <w:t>A deliberately omitted event is detected by reconciliation and recovered with its source reference.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A07 Follow up</w:t>
            </w:r>
          </w:p>
        </w:tc>
        <w:tc>
          <w:tcPr>
            <w:tcW w:type="dxa" w:w="7704"/>
            <w:vAlign w:val="center"/>
            <w:tcMar>
              <w:top w:w="85" w:type="dxa"/>
              <w:left w:w="85" w:type="dxa"/>
              <w:bottom w:w="85" w:type="dxa"/>
              <w:right w:w="85" w:type="dxa"/>
            </w:tcMar>
          </w:tcPr>
          <w:p>
            <w:pPr>
              <w:spacing w:after="60" w:line="245" w:lineRule="auto"/>
            </w:pPr>
            <w:r>
              <w:rPr>
                <w:b w:val="0"/>
                <w:sz w:val="20"/>
              </w:rPr>
              <w:t>Completion and withdrawal stop obsolete reminders. Marketing opt-out is respected. Ambiguous send timeout cannot cause a blind resend.</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A08 Score accuracy</w:t>
            </w:r>
          </w:p>
        </w:tc>
        <w:tc>
          <w:tcPr>
            <w:tcW w:type="dxa" w:w="7704"/>
            <w:vAlign w:val="center"/>
            <w:tcMar>
              <w:top w:w="85" w:type="dxa"/>
              <w:left w:w="85" w:type="dxa"/>
              <w:bottom w:w="85" w:type="dxa"/>
              <w:right w:w="85" w:type="dxa"/>
            </w:tcMar>
          </w:tcPr>
          <w:p>
            <w:pPr>
              <w:spacing w:after="60" w:line="245" w:lineRule="auto"/>
            </w:pPr>
            <w:r>
              <w:rPr>
                <w:b w:val="0"/>
                <w:sz w:val="20"/>
              </w:rPr>
              <w:t>Fixed scores match an independently checked answer set exactly. Missing answers do not become zero; AI suggestions remain marked until reviewed.</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A09 Reports and history</w:t>
            </w:r>
          </w:p>
        </w:tc>
        <w:tc>
          <w:tcPr>
            <w:tcW w:type="dxa" w:w="7704"/>
            <w:vAlign w:val="center"/>
            <w:tcMar>
              <w:top w:w="85" w:type="dxa"/>
              <w:left w:w="85" w:type="dxa"/>
              <w:bottom w:w="85" w:type="dxa"/>
              <w:right w:w="85" w:type="dxa"/>
            </w:tcMar>
          </w:tcPr>
          <w:p>
            <w:pPr>
              <w:spacing w:after="60" w:line="245" w:lineRule="auto"/>
            </w:pPr>
            <w:r>
              <w:rPr>
                <w:b w:val="0"/>
                <w:sz w:val="20"/>
              </w:rPr>
              <w:t>Dashboard totals match the reference dataset. Export joins application items to programme outcomes and identifies incompatible versions.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A10 Access and correction</w:t>
            </w:r>
          </w:p>
        </w:tc>
        <w:tc>
          <w:tcPr>
            <w:tcW w:type="dxa" w:w="7704"/>
            <w:vAlign w:val="center"/>
            <w:tcMar>
              <w:top w:w="85" w:type="dxa"/>
              <w:left w:w="85" w:type="dxa"/>
              <w:bottom w:w="85" w:type="dxa"/>
              <w:right w:w="85" w:type="dxa"/>
            </w:tcMar>
          </w:tcPr>
          <w:p>
            <w:pPr>
              <w:spacing w:after="60" w:line="245" w:lineRule="auto"/>
            </w:pPr>
            <w:r>
              <w:rPr>
                <w:b w:val="0"/>
                <w:sz w:val="20"/>
              </w:rPr>
              <w:t>Each role sees only its permitted data. Public access and cross-participant access fail. A correction or deletion request is traced across copies.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A11 Import and restore</w:t>
            </w:r>
          </w:p>
        </w:tc>
        <w:tc>
          <w:tcPr>
            <w:tcW w:type="dxa" w:w="7704"/>
            <w:vAlign w:val="center"/>
            <w:tcMar>
              <w:top w:w="85" w:type="dxa"/>
              <w:left w:w="85" w:type="dxa"/>
              <w:bottom w:w="85" w:type="dxa"/>
              <w:right w:w="85" w:type="dxa"/>
            </w:tcMar>
          </w:tcPr>
          <w:p>
            <w:pPr>
              <w:spacing w:after="60" w:line="245" w:lineRule="auto"/>
            </w:pPr>
            <w:r>
              <w:rPr>
                <w:b w:val="0"/>
                <w:sz w:val="20"/>
              </w:rPr>
              <w:t>Source and imported counts reconcile; exceptions are logged. Export and restoration preserve IDs, relationships and assessment versions.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A12 Staff handover</w:t>
            </w:r>
          </w:p>
        </w:tc>
        <w:tc>
          <w:tcPr>
            <w:tcW w:type="dxa" w:w="7704"/>
            <w:vAlign w:val="center"/>
            <w:tcMar>
              <w:top w:w="85" w:type="dxa"/>
              <w:left w:w="85" w:type="dxa"/>
              <w:bottom w:w="85" w:type="dxa"/>
              <w:right w:w="85" w:type="dxa"/>
            </w:tcMar>
          </w:tcPr>
          <w:p>
            <w:pPr>
              <w:spacing w:after="60" w:line="245" w:lineRule="auto"/>
            </w:pPr>
            <w:r>
              <w:rPr>
                <w:b w:val="0"/>
                <w:sz w:val="20"/>
              </w:rPr>
              <w:t>Owner and backup independently change an approved rule, resolve an exception, rotate a connection and restore test data using the runbook.</w:t>
            </w:r>
          </w:p>
        </w:tc>
      </w:tr>
    </w:tbl>
    <w:p>
      <w:pPr>
        <w:spacing w:after="0"/>
      </w:pPr>
    </w:p>
    <w:p>
      <w:r>
        <w:t>Suggested pilot targets: at least 50 synthetic cases covering these scenarios, then an AAA-approved real-participant sample; 95% of valid live events visible within 15 minutes; actionable failure alerts within 30 minutes; daily reconciliation. Require zero known incorrect person links, unauthorised disclosures or duplicate sends. These are design proposals, not established service guarantees.</w:t>
      </w:r>
    </w:p>
    <w:p>
      <w:r>
        <w:br w:type="page"/>
      </w:r>
    </w:p>
    <w:p>
      <w:pPr>
        <w:pStyle w:val="Heading1"/>
      </w:pPr>
      <w:r>
        <w:t>Delivery milestones and contractor proposal</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85" w:type="dxa"/>
              <w:left w:w="85" w:type="dxa"/>
              <w:bottom w:w="85" w:type="dxa"/>
              <w:right w:w="85" w:type="dxa"/>
            </w:tcMar>
            <w:shd w:fill="EDEDED"/>
          </w:tcPr>
          <w:p>
            <w:pPr>
              <w:spacing w:after="60" w:line="245" w:lineRule="auto"/>
            </w:pPr>
            <w:r>
              <w:rPr>
                <w:b/>
                <w:sz w:val="20"/>
              </w:rPr>
              <w:t>Milestone</w:t>
            </w:r>
          </w:p>
        </w:tc>
        <w:tc>
          <w:tcPr>
            <w:tcW w:type="dxa" w:w="7704"/>
            <w:vAlign w:val="center"/>
            <w:tcMar>
              <w:top w:w="85" w:type="dxa"/>
              <w:left w:w="85" w:type="dxa"/>
              <w:bottom w:w="85" w:type="dxa"/>
              <w:right w:w="85" w:type="dxa"/>
            </w:tcMar>
            <w:shd w:fill="EDEDED"/>
          </w:tcPr>
          <w:p>
            <w:pPr>
              <w:spacing w:after="60" w:line="245" w:lineRule="auto"/>
            </w:pPr>
            <w:r>
              <w:rPr>
                <w:b/>
                <w:sz w:val="20"/>
              </w:rPr>
              <w:t>Required deliverable and acceptance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M0 Discovery and proof</w:t>
            </w:r>
          </w:p>
        </w:tc>
        <w:tc>
          <w:tcPr>
            <w:tcW w:type="dxa" w:w="7704"/>
            <w:vAlign w:val="center"/>
            <w:tcMar>
              <w:top w:w="85" w:type="dxa"/>
              <w:left w:w="85" w:type="dxa"/>
              <w:bottom w:w="85" w:type="dxa"/>
              <w:right w:w="85" w:type="dxa"/>
            </w:tcMar>
          </w:tcPr>
          <w:p>
            <w:pPr>
              <w:spacing w:after="60" w:line="245" w:lineRule="auto"/>
            </w:pPr>
            <w:r>
              <w:rPr>
                <w:b w:val="0"/>
                <w:sz w:val="20"/>
              </w:rPr>
              <w:t>Inventory sources and versions; confirm rules and owners; prove one form submission, one course event, a safe match, export and recovery. Deliver architecture decision, capacity model and priced scope.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M1 CRM and historical data</w:t>
            </w:r>
          </w:p>
        </w:tc>
        <w:tc>
          <w:tcPr>
            <w:tcW w:type="dxa" w:w="7704"/>
            <w:vAlign w:val="center"/>
            <w:tcMar>
              <w:top w:w="85" w:type="dxa"/>
              <w:left w:w="85" w:type="dxa"/>
              <w:bottom w:w="85" w:type="dxa"/>
              <w:right w:w="85" w:type="dxa"/>
            </w:tcMar>
          </w:tcPr>
          <w:p>
            <w:pPr>
              <w:spacing w:after="60" w:line="245" w:lineRule="auto"/>
            </w:pPr>
            <w:r>
              <w:rPr>
                <w:b w:val="0"/>
                <w:sz w:val="20"/>
              </w:rPr>
              <w:t>Deliver the data dictionary, linked records, review queues, permissions and bounded import. AAA checks source reconciliation and representative histories.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M2 Live Pathways workflow</w:t>
            </w:r>
          </w:p>
        </w:tc>
        <w:tc>
          <w:tcPr>
            <w:tcW w:type="dxa" w:w="7704"/>
            <w:vAlign w:val="center"/>
            <w:tcMar>
              <w:top w:w="85" w:type="dxa"/>
              <w:left w:w="85" w:type="dxa"/>
              <w:bottom w:w="85" w:type="dxa"/>
              <w:right w:w="85" w:type="dxa"/>
            </w:tcMar>
          </w:tcPr>
          <w:p>
            <w:pPr>
              <w:spacing w:after="60" w:line="245" w:lineRule="auto"/>
            </w:pPr>
            <w:r>
              <w:rPr>
                <w:b w:val="0"/>
                <w:sz w:val="20"/>
              </w:rPr>
              <w:t>Deliver the course journey, live intake, scoring, messages and reconciliation. Pass identity, replay, ordering, mobile and failure tests.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M3 Reporting and pilot</w:t>
            </w:r>
          </w:p>
        </w:tc>
        <w:tc>
          <w:tcPr>
            <w:tcW w:type="dxa" w:w="7704"/>
            <w:vAlign w:val="center"/>
            <w:tcMar>
              <w:top w:w="85" w:type="dxa"/>
              <w:left w:w="85" w:type="dxa"/>
              <w:bottom w:w="85" w:type="dxa"/>
              <w:right w:w="85" w:type="dxa"/>
            </w:tcMar>
          </w:tcPr>
          <w:p>
            <w:pPr>
              <w:spacing w:after="60" w:line="245" w:lineRule="auto"/>
            </w:pPr>
            <w:r>
              <w:rPr>
                <w:b w:val="0"/>
                <w:sz w:val="20"/>
              </w:rPr>
              <w:t>Deliver staff views and evaluation export. Run the agreed pilot; compare staff time, missing data, record errors and follow-up delays with baseline.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M4 Handover and stabilisation</w:t>
            </w:r>
          </w:p>
        </w:tc>
        <w:tc>
          <w:tcPr>
            <w:tcW w:type="dxa" w:w="7704"/>
            <w:vAlign w:val="center"/>
            <w:tcMar>
              <w:top w:w="85" w:type="dxa"/>
              <w:left w:w="85" w:type="dxa"/>
              <w:bottom w:w="85" w:type="dxa"/>
              <w:right w:w="85" w:type="dxa"/>
            </w:tcMar>
          </w:tcPr>
          <w:p>
            <w:pPr>
              <w:spacing w:after="60" w:line="245" w:lineRule="auto"/>
            </w:pPr>
            <w:r>
              <w:rPr>
                <w:b w:val="0"/>
                <w:sz w:val="20"/>
              </w:rPr>
              <w:t>Owner and backup pass A12. Transfer code, accounts, configuration, backups, logs and runbook. Agree defect response and a defined support period.</w:t>
            </w:r>
          </w:p>
        </w:tc>
      </w:tr>
    </w:tbl>
    <w:p>
      <w:pPr>
        <w:spacing w:after="0"/>
      </w:pPr>
    </w:p>
    <w:p>
      <w:pPr>
        <w:pStyle w:val="Heading2"/>
      </w:pPr>
      <w:r>
        <w:t>Timing and payment</w:t>
      </w:r>
    </w:p>
    <w:p>
      <w:r>
        <w:t>Agree M0 as a fixed, bounded piece before committing to a final implementation price. A 30-day proof and 60-day operational pilot can remain planning targets, subject to source quality, scope and owner availability. Full migration and optional products may take longer. Tie payment to accepted deliverables and record change requests separately.</w:t>
      </w:r>
    </w:p>
    <w:p>
      <w:pPr>
        <w:pStyle w:val="Heading2"/>
      </w:pPr>
      <w:r>
        <w:t>Required contractor capability</w:t>
      </w:r>
    </w:p>
    <w:p>
      <w:r>
        <w:t>Look for a builder experienced in relational data modelling, historical imports, APIs, authentication, event retries, permissions and staff handover. Airtable or another low-code platform is suitable when its limits are understood. AI experience becomes essential for the advising option; it is insufficient on its own for the core data integration.</w:t>
      </w:r>
    </w:p>
    <w:p>
      <w:pPr>
        <w:pStyle w:val="Heading2"/>
      </w:pPr>
      <w:r>
        <w:t>What a comparable quote must include</w:t>
      </w:r>
    </w:p>
    <w:p>
      <w:pPr>
        <w:pStyle w:val="ListBullet"/>
      </w:pPr>
      <w:r>
        <w:t>Assumptions, exclusions and source inventory; milestones; effort and price per milestone; AAA time required; change process.</w:t>
      </w:r>
    </w:p>
    <w:p>
      <w:pPr>
        <w:pStyle w:val="ListBullet"/>
      </w:pPr>
      <w:r>
        <w:t>Monthly platform, messaging, hosting, monitoring and optional model costs at expected and higher volume. Show one-time build cost separately.</w:t>
      </w:r>
    </w:p>
    <w:p>
      <w:pPr>
        <w:pStyle w:val="ListBullet"/>
      </w:pPr>
      <w:r>
        <w:t>Ownership and licensing of code and configuration; organisation-held billing and admin access; named technical support and response terms.</w:t>
      </w:r>
    </w:p>
    <w:p>
      <w:pPr>
        <w:pStyle w:val="ListBullet"/>
      </w:pPr>
      <w:r>
        <w:t>Documentation, independent staff demonstrations, restore test and a proposed 30-day defect period after acceptance, with maintenance thereafter priced separately.</w:t>
      </w:r>
    </w:p>
    <w:p>
      <w:r>
        <w:t>The call did not approve a project budget. Moritz’s illustrative API spending figure had no agreed period or procurement status; do not use it as a contract ceiling.</w:t>
      </w:r>
    </w:p>
    <w:p>
      <w:r>
        <w:br w:type="page"/>
      </w:r>
    </w:p>
    <w:p>
      <w:pPr>
        <w:pStyle w:val="Heading1"/>
      </w:pPr>
      <w:r>
        <w:t>Optional career advising extension</w:t>
      </w:r>
    </w:p>
    <w:p>
      <w:r>
        <w:t>The call describes a longer-term ambition to use Pathways information and AAA career research to provide tailored guidance, potentially replacing some of the advising conversation. A separately accepted first release should generate a reviewed recommendation document. Interactive clarification or chat comes later if it improves the advice enough to justify its cost and support.</w:t>
      </w:r>
    </w:p>
    <w:p>
      <w:pPr>
        <w:pStyle w:val="Heading2"/>
      </w:pPr>
      <w:r>
        <w:t>Proposed first release</w:t>
      </w:r>
    </w:p>
    <w:p>
      <w:r>
        <w:t>An authorised staff member selects an eligible participant. The system checks permitted data use, approved completion or eligibility rules and required profile fields. It retrieves only that participant’s approved information and current AAA research, drafts guidance and places it in a review queue. A human edits, approves and delivers it; record the approved version and delivery event.</w:t>
      </w:r>
    </w:p>
    <w:p>
      <w:r>
        <w:t>The draft should contain the participant’s stated aims and constraints, several plausible paths, reasons tied to their background and geography, uncertainties, source links and concrete next actions. If required information is missing, ask for clarification or refer to a human. Do not invent vacancies, organisations, introductions or guarantees.</w:t>
      </w:r>
    </w:p>
    <w:p>
      <w:pPr>
        <w:pStyle w:val="Heading2"/>
      </w:pPr>
      <w:r>
        <w:t>Evaluation before participant release</w:t>
      </w:r>
    </w:p>
    <w:p>
      <w:r>
        <w:t>The approximately 20 rich advising examples described on the call may support testing only if reuse is permitted. They are not evidence that model fine-tuning is necessary. Start with approved reference material and examples; reserve some permitted cases for evaluation rather than using every case in prompts.</w:t>
      </w:r>
    </w:p>
    <w:p>
      <w:r>
        <w:t>AAA’s adviser must approve a rubric for factual accuracy, local relevance, traceability, usefulness and unacceptable advice. Compare drafts with the reference cases, include incomplete and conflicting profiles, test malicious instructions in participant text and verify separation between participants. Record review effort and revisions as well as output quality.</w:t>
      </w:r>
    </w:p>
    <w:p>
      <w:pPr>
        <w:pStyle w:val="Heading2"/>
      </w:pPr>
      <w:r>
        <w:t>Release and spending controls</w:t>
      </w:r>
    </w:p>
    <w:p>
      <w:r>
        <w:t>Set a per-participant generation allowance, maximum input and output size, retry ceiling and organisation spending threshold. Log model, prompt and research versions, token use and estimated cost. A model or source change triggers evaluation before release. The workflow must pause cleanly when budget or service limits are reached.</w:t>
      </w:r>
    </w:p>
    <w:p>
      <w:r>
        <w:t>For a later question flow, constrain the number and purpose of clarification turns, then return a document for review. A public, open-ended chatbot, automatic sharing of sensitive data and autonomous participant selection are outside this first release.</w:t>
      </w:r>
    </w:p>
    <w:p>
      <w:pPr>
        <w:pStyle w:val="Heading2"/>
      </w:pPr>
      <w:r>
        <w:t>Separate resource maintenance option</w:t>
      </w:r>
    </w:p>
    <w:p>
      <w:r>
        <w:t>If AAA retains the public support databases, a later flow can check approved sources on a quarterly schedule, propose additions or changes and queue them for review. Store last checked date and source. Publish only after approval. This optional flow must not delay the core CRM launch.</w:t>
      </w:r>
    </w:p>
    <w:p>
      <w:r>
        <w:br w:type="page"/>
      </w:r>
    </w:p>
    <w:p>
      <w:pPr>
        <w:pStyle w:val="Heading1"/>
      </w:pPr>
      <w:r>
        <w:t>Decisions AAA must confirm</w:t>
      </w:r>
    </w:p>
    <w:p>
      <w:r>
        <w:t>Use this page in the first discussion with Stuart and the contractor. Resolve decisions that affect M0 immediately; finalise the remaining rules before their milestone begins.</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85" w:type="dxa"/>
              <w:left w:w="85" w:type="dxa"/>
              <w:bottom w:w="85" w:type="dxa"/>
              <w:right w:w="85" w:type="dxa"/>
            </w:tcMar>
            <w:shd w:fill="EDEDED"/>
          </w:tcPr>
          <w:p>
            <w:pPr>
              <w:spacing w:after="60" w:line="245" w:lineRule="auto"/>
            </w:pPr>
            <w:r>
              <w:rPr>
                <w:b/>
                <w:sz w:val="20"/>
              </w:rPr>
              <w:t>Decision</w:t>
            </w:r>
          </w:p>
        </w:tc>
        <w:tc>
          <w:tcPr>
            <w:tcW w:type="dxa" w:w="7704"/>
            <w:vAlign w:val="center"/>
            <w:tcMar>
              <w:top w:w="85" w:type="dxa"/>
              <w:left w:w="85" w:type="dxa"/>
              <w:bottom w:w="85" w:type="dxa"/>
              <w:right w:w="85" w:type="dxa"/>
            </w:tcMar>
            <w:shd w:fill="EDEDED"/>
          </w:tcPr>
          <w:p>
            <w:pPr>
              <w:spacing w:after="60" w:line="245" w:lineRule="auto"/>
            </w:pPr>
            <w:r>
              <w:rPr>
                <w:b/>
                <w:sz w:val="20"/>
              </w:rPr>
              <w:t>Proposed default and consequence</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Owner and authority</w:t>
            </w:r>
          </w:p>
        </w:tc>
        <w:tc>
          <w:tcPr>
            <w:tcW w:type="dxa" w:w="7704"/>
            <w:vAlign w:val="center"/>
            <w:tcMar>
              <w:top w:w="85" w:type="dxa"/>
              <w:left w:w="85" w:type="dxa"/>
              <w:bottom w:w="85" w:type="dxa"/>
              <w:right w:w="85" w:type="dxa"/>
            </w:tcMar>
          </w:tcPr>
          <w:p>
            <w:pPr>
              <w:spacing w:after="60" w:line="245" w:lineRule="auto"/>
            </w:pPr>
            <w:r>
              <w:rPr>
                <w:b w:val="0"/>
                <w:sz w:val="20"/>
              </w:rPr>
              <w:t>Stuart as product owner, Moritz as sponsor and one named backup. Confirm with them; none of these appointments is established by this brief.</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Sources and migration</w:t>
            </w:r>
          </w:p>
        </w:tc>
        <w:tc>
          <w:tcPr>
            <w:tcW w:type="dxa" w:w="7704"/>
            <w:vAlign w:val="center"/>
            <w:tcMar>
              <w:top w:w="85" w:type="dxa"/>
              <w:left w:w="85" w:type="dxa"/>
              <w:bottom w:w="85" w:type="dxa"/>
              <w:right w:w="85" w:type="dxa"/>
            </w:tcMar>
          </w:tcPr>
          <w:p>
            <w:pPr>
              <w:spacing w:after="60" w:line="245" w:lineRule="auto"/>
            </w:pPr>
            <w:r>
              <w:rPr>
                <w:b w:val="0"/>
                <w:sz w:val="20"/>
              </w:rPr>
              <w:t>List each application workbook, Pathways export, form, programme and year. Agree which records and attachments are imported and how duplicates are reviewed.</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Content and assessment rules</w:t>
            </w:r>
          </w:p>
        </w:tc>
        <w:tc>
          <w:tcPr>
            <w:tcW w:type="dxa" w:w="7704"/>
            <w:vAlign w:val="center"/>
            <w:tcMar>
              <w:top w:w="85" w:type="dxa"/>
              <w:left w:w="85" w:type="dxa"/>
              <w:bottom w:w="85" w:type="dxa"/>
              <w:right w:w="85" w:type="dxa"/>
            </w:tcMar>
          </w:tcPr>
          <w:p>
            <w:pPr>
              <w:spacing w:after="60" w:line="245" w:lineRule="auto"/>
            </w:pPr>
            <w:r>
              <w:rPr>
                <w:b w:val="0"/>
                <w:sz w:val="20"/>
              </w:rPr>
              <w:t>Provide the current course materials, item dictionary and weights. Agree completion, retakes, missing values and who can publish a new version.</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Volume and tools</w:t>
            </w:r>
          </w:p>
        </w:tc>
        <w:tc>
          <w:tcPr>
            <w:tcW w:type="dxa" w:w="7704"/>
            <w:vAlign w:val="center"/>
            <w:tcMar>
              <w:top w:w="85" w:type="dxa"/>
              <w:left w:w="85" w:type="dxa"/>
              <w:bottom w:w="85" w:type="dxa"/>
              <w:right w:w="85" w:type="dxa"/>
            </w:tcMar>
          </w:tcPr>
          <w:p>
            <w:pPr>
              <w:spacing w:after="60" w:line="245" w:lineRule="auto"/>
            </w:pPr>
            <w:r>
              <w:rPr>
                <w:b w:val="0"/>
                <w:sz w:val="20"/>
              </w:rPr>
              <w:t>Confirm current accounts and subscriptions, expected annual learners, peak events, response records and staff seats. Choose tools only after the M0 proof.</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Messages and participant support</w:t>
            </w:r>
          </w:p>
        </w:tc>
        <w:tc>
          <w:tcPr>
            <w:tcW w:type="dxa" w:w="7704"/>
            <w:vAlign w:val="center"/>
            <w:tcMar>
              <w:top w:w="85" w:type="dxa"/>
              <w:left w:w="85" w:type="dxa"/>
              <w:bottom w:w="85" w:type="dxa"/>
              <w:right w:w="85" w:type="dxa"/>
            </w:tcMar>
          </w:tcPr>
          <w:p>
            <w:pPr>
              <w:spacing w:after="60" w:line="245" w:lineRule="auto"/>
            </w:pPr>
            <w:r>
              <w:rPr>
                <w:b w:val="0"/>
                <w:sz w:val="20"/>
              </w:rPr>
              <w:t>Approve sender, templates, cadence, purpose and suppression rules. Name who handles failed messages, corrections and support requests.</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Selection and evaluation</w:t>
            </w:r>
          </w:p>
        </w:tc>
        <w:tc>
          <w:tcPr>
            <w:tcW w:type="dxa" w:w="7704"/>
            <w:vAlign w:val="center"/>
            <w:tcMar>
              <w:top w:w="85" w:type="dxa"/>
              <w:left w:w="85" w:type="dxa"/>
              <w:bottom w:w="85" w:type="dxa"/>
              <w:right w:w="85" w:type="dxa"/>
            </w:tcMar>
          </w:tcPr>
          <w:p>
            <w:pPr>
              <w:spacing w:after="60" w:line="245" w:lineRule="auto"/>
            </w:pPr>
            <w:r>
              <w:rPr>
                <w:b w:val="0"/>
                <w:sz w:val="20"/>
              </w:rPr>
              <w:t>Define programme stages, accountable reviewers and outcome measures. Confirm which item versions can be compared.</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Data and AI use</w:t>
            </w:r>
          </w:p>
        </w:tc>
        <w:tc>
          <w:tcPr>
            <w:tcW w:type="dxa" w:w="7704"/>
            <w:vAlign w:val="center"/>
            <w:tcMar>
              <w:top w:w="85" w:type="dxa"/>
              <w:left w:w="85" w:type="dxa"/>
              <w:bottom w:w="85" w:type="dxa"/>
              <w:right w:w="85" w:type="dxa"/>
            </w:tcMar>
          </w:tcPr>
          <w:p>
            <w:pPr>
              <w:spacing w:after="60" w:line="245" w:lineRule="auto"/>
            </w:pPr>
            <w:r>
              <w:rPr>
                <w:b w:val="0"/>
                <w:sz w:val="20"/>
              </w:rPr>
              <w:t>Approve access, notices, retention, processors and permitted AI fields. Confirm whether historical advising examples can be reused.</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Commercial terms</w:t>
            </w:r>
          </w:p>
        </w:tc>
        <w:tc>
          <w:tcPr>
            <w:tcW w:type="dxa" w:w="7704"/>
            <w:vAlign w:val="center"/>
            <w:tcMar>
              <w:top w:w="85" w:type="dxa"/>
              <w:left w:w="85" w:type="dxa"/>
              <w:bottom w:w="85" w:type="dxa"/>
              <w:right w:w="85" w:type="dxa"/>
            </w:tcMar>
          </w:tcPr>
          <w:p>
            <w:pPr>
              <w:spacing w:after="60" w:line="245" w:lineRule="auto"/>
            </w:pPr>
            <w:r>
              <w:rPr>
                <w:b w:val="0"/>
                <w:sz w:val="20"/>
              </w:rPr>
              <w:t>Approve build budget, running-cost cap, timetable, acceptance authority, defect period and paid support after handover.</w:t>
            </w:r>
          </w:p>
        </w:tc>
      </w:tr>
    </w:tbl>
    <w:p>
      <w:pPr>
        <w:spacing w:after="0"/>
      </w:pPr>
    </w:p>
    <w:p>
      <w:pPr>
        <w:pStyle w:val="Heading2"/>
      </w:pPr>
      <w:r>
        <w:t>Evidence and status</w:t>
      </w:r>
    </w:p>
    <w:p>
      <w:r>
        <w:t xml:space="preserve">The </w:t>
      </w:r>
      <w:hyperlink r:id="rId11">
        <w:r>
          <w:rPr>
            <w:color w:val="185080"/>
            <w:u w:val="single"/>
          </w:rPr>
          <w:t>30 September scoping call</w:t>
        </w:r>
      </w:hyperlink>
      <w:r>
        <w:t xml:space="preserve"> is the primary discovery source. Relevant passages describe the talent funnel and six-section course; signup and spreadsheet friction; the Nigeria application stages; item codes and changes over time; contractor ownership; and the advising pilot. The private transcript remains in VH’s meeting archive and is not bundled for distribution.</w:t>
      </w:r>
    </w:p>
    <w:p>
      <w:r>
        <w:t>The existing AAA AI action plan dated 23 October 2026 informed sequencing. Recommendations in this PRD, including reliability targets, schema, milestones and review controls, are proposed design decisions rather than quotations or approved AAA policy. The course materials, advising framework, current account entitlements and source datasets must still be inspected in M0.</w:t>
      </w:r>
    </w:p>
    <w:p>
      <w:r>
        <w:t>AAA can use this brief to request proposals now. Approve the source inventory and unresolved rules before commissioning the full build. The contractor builds and documents the solution; AAA owns acceptance and operation. This brief does not commit VH to implementation, contractor placement or ongoing maintenance.</w:t>
      </w:r>
    </w:p>
    <w:sectPr w:rsidR="00FC693F" w:rsidRPr="0006063C" w:rsidSect="00034616">
      <w:headerReference w:type="default" r:id="rId9"/>
      <w:footerReference w:type="default" r:id="rId10"/>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Draft for AAA review   •   23 October 2026</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ANIMAL ADVOCACY AFRICA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eganhacktivists/AI-services-meetings/blob/main/Animal%20Advocacy%20Africa/2026-09-30-initial-scoping-cal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PRODUCT REQUIREMENTS</dc:subject>
  <dc:creator>Vegan Hacktivists</dc:creator>
  <cp:keywords/>
  <dc:description>generated by python-docx</dc:description>
  <cp:lastModifiedBy/>
  <cp:revision>1</cp:revision>
  <dcterms:created xsi:type="dcterms:W3CDTF">2013-12-23T23:15:00Z</dcterms:created>
  <dcterms:modified xsi:type="dcterms:W3CDTF">2013-12-23T23:15:00Z</dcterms:modified>
  <cp:category/>
</cp:coreProperties>
</file>