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56F82" w14:textId="384BD88D" w:rsidR="002B4F22" w:rsidRDefault="00685445" w:rsidP="002B4F22">
      <w:pPr>
        <w:pStyle w:val="NormalWeb"/>
        <w:rPr>
          <w:rFonts w:ascii="Calibri" w:hAnsi="Calibri" w:cs="Calibri"/>
          <w:b/>
          <w:bCs/>
          <w:u w:val="single"/>
        </w:rPr>
      </w:pPr>
      <w:r w:rsidRPr="00685445">
        <w:rPr>
          <w:rFonts w:ascii="Calibri" w:hAnsi="Calibri" w:cs="Calibri"/>
          <w:b/>
          <w:bCs/>
          <w:u w:val="single"/>
        </w:rPr>
        <w:t>Extreme points summary (2018-present)</w:t>
      </w:r>
    </w:p>
    <w:p w14:paraId="4290C40E" w14:textId="0AA76DBD" w:rsidR="00464B0D" w:rsidRPr="00464B0D" w:rsidRDefault="00464B0D" w:rsidP="002B4F22">
      <w:pPr>
        <w:pStyle w:val="NormalWeb"/>
        <w:rPr>
          <w:rFonts w:ascii="Calibri" w:hAnsi="Calibri" w:cs="Calibri"/>
          <w:b/>
          <w:bCs/>
          <w:sz w:val="20"/>
          <w:szCs w:val="20"/>
        </w:rPr>
      </w:pPr>
      <w:r w:rsidRPr="00464B0D">
        <w:rPr>
          <w:rFonts w:ascii="Calibri" w:hAnsi="Calibri" w:cs="Calibri"/>
          <w:b/>
          <w:bCs/>
          <w:sz w:val="20"/>
          <w:szCs w:val="20"/>
        </w:rPr>
        <w:t>Aaron Isaacs</w:t>
      </w:r>
    </w:p>
    <w:p w14:paraId="5E2C37F8" w14:textId="549AE7BF" w:rsidR="00464B0D" w:rsidRPr="00464B0D" w:rsidRDefault="00464B0D" w:rsidP="002B4F22">
      <w:pPr>
        <w:pStyle w:val="NormalWeb"/>
        <w:rPr>
          <w:rFonts w:ascii="Calibri" w:hAnsi="Calibri" w:cs="Calibri"/>
          <w:b/>
          <w:bCs/>
          <w:sz w:val="20"/>
          <w:szCs w:val="20"/>
        </w:rPr>
      </w:pPr>
      <w:r w:rsidRPr="00464B0D">
        <w:rPr>
          <w:rFonts w:ascii="Calibri" w:hAnsi="Calibri" w:cs="Calibri"/>
          <w:b/>
          <w:bCs/>
          <w:sz w:val="20"/>
          <w:szCs w:val="20"/>
        </w:rPr>
        <w:t>Mathematics with accounting and finance student---Queen Mary University</w:t>
      </w:r>
    </w:p>
    <w:p w14:paraId="4D697E38" w14:textId="1F82DCE9" w:rsidR="000C46D0" w:rsidRDefault="00464B0D" w:rsidP="000C46D0">
      <w:pPr>
        <w:pStyle w:val="NormalWeb"/>
        <w:rPr>
          <w:rFonts w:ascii="Calibri" w:hAnsi="Calibri" w:cs="Calibri"/>
          <w:b/>
          <w:bCs/>
          <w:sz w:val="20"/>
          <w:szCs w:val="20"/>
        </w:rPr>
      </w:pPr>
      <w:r w:rsidRPr="00464B0D">
        <w:rPr>
          <w:rFonts w:ascii="Calibri" w:hAnsi="Calibri" w:cs="Calibri"/>
          <w:b/>
          <w:bCs/>
          <w:sz w:val="20"/>
          <w:szCs w:val="20"/>
        </w:rPr>
        <w:t>16/02/2026</w:t>
      </w:r>
    </w:p>
    <w:p w14:paraId="08A28FE3" w14:textId="15E137FB" w:rsidR="00DE5DDB" w:rsidRDefault="00DE5DDB" w:rsidP="00DE5DDB">
      <w:pPr>
        <w:pStyle w:val="NormalWeb"/>
        <w:numPr>
          <w:ilvl w:val="0"/>
          <w:numId w:val="4"/>
        </w:numPr>
        <w:rPr>
          <w:rFonts w:ascii="Calibri" w:hAnsi="Calibri" w:cs="Calibri"/>
          <w:sz w:val="20"/>
          <w:szCs w:val="20"/>
        </w:rPr>
      </w:pPr>
      <w:r w:rsidRPr="00DE5DDB">
        <w:rPr>
          <w:rFonts w:ascii="Calibri" w:hAnsi="Calibri" w:cs="Calibri"/>
          <w:sz w:val="20"/>
          <w:szCs w:val="20"/>
        </w:rPr>
        <w:t>Dutch TTF Gas</w:t>
      </w:r>
    </w:p>
    <w:p w14:paraId="45DD8014"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Between 2018 and early 2021, Dutch TTF gas prices traded within a relatively stable range of roughly 3–28. Volatility was limited, with few statistically significant extreme moves.</w:t>
      </w:r>
    </w:p>
    <w:p w14:paraId="74BCA9E3"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Between September and December 2019, four upward extremes occurred (defined as returns exceeding ±3 standard deviations from the mean). These moves followed a rebound from historically low prices earlier that year, driven primarily by seasonal demand increases ahead of winter, alongside temporary supply constraints caused by pipeline maintenance.</w:t>
      </w:r>
    </w:p>
    <w:p w14:paraId="3CDD1C9A" w14:textId="2E1B9F5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In 2020, four additional extreme events were observed. The first was a sharp downward move during spring, followed by two upward extremes in summer and another in September. The initial drop coincided with global COVID-19 lockdowns, which created a severe demand shock combined with excess supply. The subsequent upward extremes reflected market recovery as economies reopened and seasonal demand expectations normalised.</w:t>
      </w:r>
    </w:p>
    <w:p w14:paraId="099F258D"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Price behaviour shifted dramatically in 2021–2022, ranging from roughly 28 to a peak near 345. During this period, eleven upward and eight downward extremes were recorded, indicating severe instability. This volatility was primarily driven by geopolitical disruption linked to the conflict between Russia and Ukraine, which reduced Russian gas flows to Europe and triggered sanctions-related supply concerns. Short-term downward moves were largely due to temporary supply adjustments and intermittent diplomatic developments.</w:t>
      </w:r>
    </w:p>
    <w:p w14:paraId="624A0982" w14:textId="4D5BA155" w:rsidR="00DE5DDB" w:rsidRDefault="00DE5DDB" w:rsidP="00DE5DDB">
      <w:pPr>
        <w:pStyle w:val="NormalWeb"/>
        <w:rPr>
          <w:rFonts w:ascii="Calibri" w:hAnsi="Calibri" w:cs="Calibri"/>
          <w:sz w:val="20"/>
          <w:szCs w:val="20"/>
        </w:rPr>
      </w:pPr>
      <w:r w:rsidRPr="00DE5DDB">
        <w:rPr>
          <w:rFonts w:ascii="Calibri" w:hAnsi="Calibri" w:cs="Calibri"/>
          <w:sz w:val="20"/>
          <w:szCs w:val="20"/>
        </w:rPr>
        <w:t>Since 2023, volatility has moderated significantly. Nevertheless, three downward extremes and four upward extremes were recorded during 2023. Downward moves were likely driven by softer demand due to mild weather and strong LNG supply, while upward spikes were associated with colder weather expectations and persistent geopolitical risk premiums.</w:t>
      </w:r>
    </w:p>
    <w:p w14:paraId="43DC309E" w14:textId="54CDF66C" w:rsidR="00DE5DDB" w:rsidRDefault="00DE5DDB" w:rsidP="00DE5DDB">
      <w:pPr>
        <w:pStyle w:val="NormalWeb"/>
        <w:numPr>
          <w:ilvl w:val="0"/>
          <w:numId w:val="4"/>
        </w:numPr>
        <w:rPr>
          <w:rFonts w:ascii="Calibri" w:hAnsi="Calibri" w:cs="Calibri"/>
          <w:sz w:val="20"/>
          <w:szCs w:val="20"/>
        </w:rPr>
      </w:pPr>
      <w:r>
        <w:rPr>
          <w:rFonts w:ascii="Calibri" w:hAnsi="Calibri" w:cs="Calibri"/>
          <w:sz w:val="20"/>
          <w:szCs w:val="20"/>
        </w:rPr>
        <w:t>Jet Fuel</w:t>
      </w:r>
    </w:p>
    <w:p w14:paraId="05FBB9F3"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Between 2018 and early 2020, jet fuel prices were relatively stable around 2, with only one upward extreme in late 2019. Price movements were largely influenced by broader crude oil trends and steady global aviation demand.</w:t>
      </w:r>
    </w:p>
    <w:p w14:paraId="25194259" w14:textId="77777777" w:rsidR="00DE5DDB" w:rsidRPr="00DE5DDB" w:rsidRDefault="00DE5DDB" w:rsidP="00DE5DDB">
      <w:pPr>
        <w:pStyle w:val="NormalWeb"/>
        <w:rPr>
          <w:rFonts w:ascii="Calibri" w:hAnsi="Calibri" w:cs="Calibri"/>
          <w:sz w:val="20"/>
          <w:szCs w:val="20"/>
        </w:rPr>
      </w:pPr>
      <w:r w:rsidRPr="00DE5DDB">
        <w:rPr>
          <w:rFonts w:ascii="Calibri" w:hAnsi="Calibri" w:cs="Calibri"/>
          <w:sz w:val="20"/>
          <w:szCs w:val="20"/>
        </w:rPr>
        <w:t>From 2020 to mid-2022, volatility increased substantially, with prices ranging from approximately 0.2 to a peak near 5.1. There were 14 downward extremes and 11 upward extremes during this period. The sharp decline to 0.2 coincided with global COVID-19 lockdowns, which caused a collapse in air travel demand and excess supply. Subsequent upward extremes reflected the gradual recovery of global mobility and forward-looking market sentiment.</w:t>
      </w:r>
    </w:p>
    <w:p w14:paraId="2A39B348" w14:textId="77777777" w:rsidR="00D760AE" w:rsidRDefault="00DE5DDB" w:rsidP="00D760AE">
      <w:pPr>
        <w:pStyle w:val="NormalWeb"/>
        <w:rPr>
          <w:rFonts w:ascii="Calibri" w:hAnsi="Calibri" w:cs="Calibri"/>
          <w:sz w:val="20"/>
          <w:szCs w:val="20"/>
        </w:rPr>
      </w:pPr>
      <w:r w:rsidRPr="00DE5DDB">
        <w:rPr>
          <w:rFonts w:ascii="Calibri" w:hAnsi="Calibri" w:cs="Calibri"/>
          <w:sz w:val="20"/>
          <w:szCs w:val="20"/>
        </w:rPr>
        <w:t>Since mid-2022, prices have declined from their peak and stabilised around 2.5. Only one downward extreme has been observed, indicating a return toward more balanced market conditions, driven by normalising travel demand and improved supply</w:t>
      </w:r>
      <w:r w:rsidR="00D760AE">
        <w:rPr>
          <w:rFonts w:ascii="Calibri" w:hAnsi="Calibri" w:cs="Calibri"/>
          <w:sz w:val="20"/>
          <w:szCs w:val="20"/>
        </w:rPr>
        <w:t>.</w:t>
      </w:r>
    </w:p>
    <w:p w14:paraId="3D6DC3FD" w14:textId="77777777" w:rsidR="00D760AE" w:rsidRDefault="00D760AE" w:rsidP="00D760AE">
      <w:pPr>
        <w:pStyle w:val="NormalWeb"/>
        <w:rPr>
          <w:rFonts w:ascii="Calibri" w:hAnsi="Calibri" w:cs="Calibri"/>
          <w:sz w:val="20"/>
          <w:szCs w:val="20"/>
        </w:rPr>
      </w:pPr>
    </w:p>
    <w:p w14:paraId="461C2726" w14:textId="419F3C3D"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lastRenderedPageBreak/>
        <w:t>Brent Crude Oil</w:t>
      </w:r>
    </w:p>
    <w:p w14:paraId="37E3BE93" w14:textId="370496DB"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Brent prices fluctuated between approximately 50 and 85, with one downward extreme and two upward extremes. Market movements were moderate and largely driven by routine supply-demand adjustments.</w:t>
      </w:r>
    </w:p>
    <w:p w14:paraId="3712DF3A"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Brent experienced pronounced volatility, ranging from roughly 20 to a peak near 130. Eleven downward extremes and ten upward extremes were recorded. The extreme lows coincided with the global COVID-19 pandemic, while upward extremes reflected economic recovery, constrained supply, and rising geopolitical tensions.</w:t>
      </w:r>
    </w:p>
    <w:p w14:paraId="6A0A7508"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moderated. Prices have gradually declined from previous highs and currently sit around 70, reflecting stabilising supply-demand dynamics and reduced uncertainty.</w:t>
      </w:r>
    </w:p>
    <w:p w14:paraId="0F9A2D78" w14:textId="5A2933E5"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t>WTI Crude Oil</w:t>
      </w:r>
    </w:p>
    <w:p w14:paraId="3A70112E"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WTI prices remained relatively stable between 40 and 75, with only one upward extreme. Market movements were moderate, reflecting normal supply-demand conditions.</w:t>
      </w:r>
    </w:p>
    <w:p w14:paraId="784FD1D9"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WTI experienced unprecedented volatility, ranging from a historic low of –40 in April 2020 to a peak of roughly 125 in 2023. Eleven downward extremes and nine upward extremes were observed. The negative price event occurred due to collapsing demand during COVID-19 lockdowns and severe storage constraints, forcing traders to sell expiring futures at extremely low prices. Subsequent upward extremes were driven by economic recovery, rising global demand, and ongoing supply uncertainties.</w:t>
      </w:r>
    </w:p>
    <w:p w14:paraId="29325E41"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moderated, with prices currently around 65 and only one downward extreme observed.</w:t>
      </w:r>
    </w:p>
    <w:p w14:paraId="57623B4E" w14:textId="77777777"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t>US Natural Gas</w:t>
      </w:r>
    </w:p>
    <w:p w14:paraId="5925CB1A" w14:textId="78F12D42"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prices fluctuated between 1.85 and 4.9, with two upward extremes and one downward extreme, reflecting relatively balanced market conditions.</w:t>
      </w:r>
    </w:p>
    <w:p w14:paraId="19ED7EA9"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volatility increased, with highs near 9.75 in mid-2022 and lows around 1.50 in mid-2020. Five upward and four downward extremes occurred, driven by COVID-19 demand shocks and tight supply conditions affected by geopolitical tensions, particularly the Russia–Ukraine conflict.</w:t>
      </w:r>
    </w:p>
    <w:p w14:paraId="4720E78B"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remained elevated, with six downward extremes and eight upward extremes. Prices have ranged from roughly 1.60 in early 2024 to 7.5 at the start of this year, with the most recent price around 3.10.</w:t>
      </w:r>
    </w:p>
    <w:p w14:paraId="3CED18E0" w14:textId="1857C430" w:rsidR="00D760AE" w:rsidRPr="00D760AE" w:rsidRDefault="00D760AE" w:rsidP="00D760AE">
      <w:pPr>
        <w:pStyle w:val="NormalWeb"/>
        <w:numPr>
          <w:ilvl w:val="0"/>
          <w:numId w:val="4"/>
        </w:numPr>
        <w:rPr>
          <w:rFonts w:ascii="Calibri" w:hAnsi="Calibri" w:cs="Calibri"/>
          <w:b/>
          <w:bCs/>
          <w:sz w:val="20"/>
          <w:szCs w:val="20"/>
        </w:rPr>
      </w:pPr>
      <w:r w:rsidRPr="00D760AE">
        <w:rPr>
          <w:rFonts w:ascii="Calibri" w:hAnsi="Calibri" w:cs="Calibri"/>
          <w:b/>
          <w:bCs/>
          <w:sz w:val="20"/>
          <w:szCs w:val="20"/>
        </w:rPr>
        <w:t>Heating Oil</w:t>
      </w:r>
    </w:p>
    <w:p w14:paraId="6DF20EEC"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Between 2018 and early 2020, prices fluctuated between 1.7 and 2.5, with only one upward extreme, reflecting moderate, balanced market conditions.</w:t>
      </w:r>
    </w:p>
    <w:p w14:paraId="7A335F1A"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From 2020 to 2023, volatility increased substantially, with prices ranging from 0.5 in 2020 to a peak near 5 in 2022. Sixteen downward and eleven upward extremes were recorded. Low points were largely driven by collapsing COVID-19 demand and temporary oversupply, while peaks reflected recovering demand, seasonal winter pressures, and supply constraints.</w:t>
      </w:r>
    </w:p>
    <w:p w14:paraId="1FD473E4" w14:textId="77777777" w:rsidR="00D760AE" w:rsidRDefault="00D760AE" w:rsidP="00D760AE">
      <w:pPr>
        <w:pStyle w:val="NormalWeb"/>
        <w:rPr>
          <w:rFonts w:ascii="Calibri" w:hAnsi="Calibri" w:cs="Calibri"/>
          <w:sz w:val="20"/>
          <w:szCs w:val="20"/>
        </w:rPr>
      </w:pPr>
      <w:r w:rsidRPr="00D760AE">
        <w:rPr>
          <w:rFonts w:ascii="Calibri" w:hAnsi="Calibri" w:cs="Calibri"/>
          <w:sz w:val="20"/>
          <w:szCs w:val="20"/>
        </w:rPr>
        <w:t>Since 2023, volatility has moderated, though three downward extremes have been observed. Heating Oil currently sits around 2.3, reflecting stabilising market conditions.</w:t>
      </w:r>
    </w:p>
    <w:p w14:paraId="098CE3DC" w14:textId="1BBFB6CE" w:rsidR="00D760AE" w:rsidRDefault="00D760AE" w:rsidP="00D760AE">
      <w:pPr>
        <w:pStyle w:val="NormalWeb"/>
        <w:rPr>
          <w:rFonts w:ascii="Calibri" w:hAnsi="Calibri" w:cs="Calibri"/>
          <w:b/>
          <w:bCs/>
          <w:u w:val="single"/>
        </w:rPr>
      </w:pPr>
      <w:r w:rsidRPr="00D760AE">
        <w:rPr>
          <w:rFonts w:ascii="Calibri" w:hAnsi="Calibri" w:cs="Calibri"/>
          <w:b/>
          <w:bCs/>
          <w:u w:val="single"/>
        </w:rPr>
        <w:lastRenderedPageBreak/>
        <w:t>Final Summary</w:t>
      </w:r>
    </w:p>
    <w:p w14:paraId="0A8221E2" w14:textId="77777777" w:rsidR="00D760AE" w:rsidRPr="00D760AE" w:rsidRDefault="00D760AE" w:rsidP="00D760AE">
      <w:pPr>
        <w:pStyle w:val="NormalWeb"/>
        <w:rPr>
          <w:rFonts w:ascii="Calibri" w:hAnsi="Calibri" w:cs="Calibri"/>
          <w:sz w:val="20"/>
          <w:szCs w:val="20"/>
        </w:rPr>
      </w:pPr>
      <w:r w:rsidRPr="00D760AE">
        <w:rPr>
          <w:rFonts w:ascii="Calibri" w:hAnsi="Calibri" w:cs="Calibri"/>
          <w:sz w:val="20"/>
          <w:szCs w:val="20"/>
        </w:rPr>
        <w:t>Across the six analysed commodities — Dutch TTF Gas, Jet Fuel, Brent Crude, WTI Crude, US Natural Gas, and Heating Oil — distinct patterns of volatility and extreme price movements emerge, reflecting both systemic shocks and market-specific dynamics.</w:t>
      </w:r>
    </w:p>
    <w:p w14:paraId="3D5A9878"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1. Volatility Comparison</w:t>
      </w:r>
    </w:p>
    <w:p w14:paraId="5798045E" w14:textId="77777777" w:rsidR="00D760AE" w:rsidRPr="00D760AE" w:rsidRDefault="00D760AE" w:rsidP="00D760AE">
      <w:pPr>
        <w:pStyle w:val="NormalWeb"/>
        <w:numPr>
          <w:ilvl w:val="0"/>
          <w:numId w:val="5"/>
        </w:numPr>
        <w:rPr>
          <w:rFonts w:ascii="Calibri" w:hAnsi="Calibri" w:cs="Calibri"/>
          <w:sz w:val="20"/>
          <w:szCs w:val="20"/>
        </w:rPr>
      </w:pPr>
      <w:r w:rsidRPr="00D760AE">
        <w:rPr>
          <w:rStyle w:val="Strong"/>
          <w:rFonts w:ascii="Calibri" w:eastAsiaTheme="majorEastAsia" w:hAnsi="Calibri" w:cs="Calibri"/>
          <w:sz w:val="20"/>
          <w:szCs w:val="20"/>
        </w:rPr>
        <w:t>Highest extreme volatility:</w:t>
      </w:r>
      <w:r w:rsidRPr="00D760AE">
        <w:rPr>
          <w:rFonts w:ascii="Calibri" w:hAnsi="Calibri" w:cs="Calibri"/>
          <w:sz w:val="20"/>
          <w:szCs w:val="20"/>
        </w:rPr>
        <w:t xml:space="preserve"> Dutch TTF Gas (price peak ~345) and WTI Crude (price low –40), driven by geopolitical disruption and structural market constraints.</w:t>
      </w:r>
    </w:p>
    <w:p w14:paraId="7DEC5CA4" w14:textId="77777777" w:rsidR="00D760AE" w:rsidRPr="00D760AE" w:rsidRDefault="00D760AE" w:rsidP="00D760AE">
      <w:pPr>
        <w:pStyle w:val="NormalWeb"/>
        <w:numPr>
          <w:ilvl w:val="0"/>
          <w:numId w:val="5"/>
        </w:numPr>
        <w:rPr>
          <w:rFonts w:ascii="Calibri" w:hAnsi="Calibri" w:cs="Calibri"/>
          <w:sz w:val="20"/>
          <w:szCs w:val="20"/>
        </w:rPr>
      </w:pPr>
      <w:r w:rsidRPr="00D760AE">
        <w:rPr>
          <w:rStyle w:val="Strong"/>
          <w:rFonts w:ascii="Calibri" w:eastAsiaTheme="majorEastAsia" w:hAnsi="Calibri" w:cs="Calibri"/>
          <w:sz w:val="20"/>
          <w:szCs w:val="20"/>
        </w:rPr>
        <w:t>Moderate volatility:</w:t>
      </w:r>
      <w:r w:rsidRPr="00D760AE">
        <w:rPr>
          <w:rFonts w:ascii="Calibri" w:hAnsi="Calibri" w:cs="Calibri"/>
          <w:sz w:val="20"/>
          <w:szCs w:val="20"/>
        </w:rPr>
        <w:t xml:space="preserve"> Brent Crude and US Natural Gas, showing pronounced but less extreme movements during periods of demand shocks and geopolitical tension.</w:t>
      </w:r>
    </w:p>
    <w:p w14:paraId="6FAAFF41" w14:textId="77777777" w:rsidR="00D760AE" w:rsidRPr="00D760AE" w:rsidRDefault="00D760AE" w:rsidP="00D760AE">
      <w:pPr>
        <w:pStyle w:val="NormalWeb"/>
        <w:numPr>
          <w:ilvl w:val="0"/>
          <w:numId w:val="5"/>
        </w:numPr>
        <w:rPr>
          <w:rFonts w:ascii="Calibri" w:hAnsi="Calibri" w:cs="Calibri"/>
          <w:sz w:val="20"/>
          <w:szCs w:val="20"/>
        </w:rPr>
      </w:pPr>
      <w:r w:rsidRPr="00D760AE">
        <w:rPr>
          <w:rStyle w:val="Strong"/>
          <w:rFonts w:ascii="Calibri" w:eastAsiaTheme="majorEastAsia" w:hAnsi="Calibri" w:cs="Calibri"/>
          <w:sz w:val="20"/>
          <w:szCs w:val="20"/>
        </w:rPr>
        <w:t>Lower volatility:</w:t>
      </w:r>
      <w:r w:rsidRPr="00D760AE">
        <w:rPr>
          <w:rFonts w:ascii="Calibri" w:hAnsi="Calibri" w:cs="Calibri"/>
          <w:sz w:val="20"/>
          <w:szCs w:val="20"/>
        </w:rPr>
        <w:t xml:space="preserve"> Jet Fuel and Heating Oil, where extremes were primarily influenced by demand collapses during COVID-19 and seasonal factors.</w:t>
      </w:r>
    </w:p>
    <w:p w14:paraId="0E0F4E3D"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2. Price Range Analysis</w:t>
      </w:r>
    </w:p>
    <w:p w14:paraId="7C3923BE"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Dutch TTF Gas and WTI Crude displayed the widest ranges, reflecting exposure to geopolitical events and structural constraints (pipelines, storage, futures markets).</w:t>
      </w:r>
    </w:p>
    <w:p w14:paraId="371D28F5"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Brent Crude exhibited a substantial range during COVID-19 and 2022 recovery periods but has since stabilised.</w:t>
      </w:r>
    </w:p>
    <w:p w14:paraId="74B91F49"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Jet Fuel and Heating Oil demonstrated sharp but short-lived deviations, with prices recovering quickly once demand normalised.</w:t>
      </w:r>
    </w:p>
    <w:p w14:paraId="7CF21D04" w14:textId="77777777" w:rsidR="00D760AE" w:rsidRPr="00D760AE" w:rsidRDefault="00D760AE" w:rsidP="00D760AE">
      <w:pPr>
        <w:pStyle w:val="NormalWeb"/>
        <w:numPr>
          <w:ilvl w:val="0"/>
          <w:numId w:val="6"/>
        </w:numPr>
        <w:rPr>
          <w:rFonts w:ascii="Calibri" w:hAnsi="Calibri" w:cs="Calibri"/>
          <w:sz w:val="20"/>
          <w:szCs w:val="20"/>
        </w:rPr>
      </w:pPr>
      <w:r w:rsidRPr="00D760AE">
        <w:rPr>
          <w:rFonts w:ascii="Calibri" w:hAnsi="Calibri" w:cs="Calibri"/>
          <w:sz w:val="20"/>
          <w:szCs w:val="20"/>
        </w:rPr>
        <w:t>US Natural Gas showed ongoing seasonal and geopolitical sensitivity, with multiple extreme events post-2020.</w:t>
      </w:r>
    </w:p>
    <w:p w14:paraId="6F501910"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3. Sensitivity to Macroeconomic and Geopolitical Events</w:t>
      </w:r>
    </w:p>
    <w:p w14:paraId="6EDE6954" w14:textId="77777777" w:rsidR="00D760AE" w:rsidRPr="00D760AE" w:rsidRDefault="00D760AE" w:rsidP="00D760AE">
      <w:pPr>
        <w:pStyle w:val="NormalWeb"/>
        <w:numPr>
          <w:ilvl w:val="0"/>
          <w:numId w:val="7"/>
        </w:numPr>
        <w:rPr>
          <w:rFonts w:ascii="Calibri" w:hAnsi="Calibri" w:cs="Calibri"/>
          <w:sz w:val="20"/>
          <w:szCs w:val="20"/>
        </w:rPr>
      </w:pPr>
      <w:r w:rsidRPr="00D760AE">
        <w:rPr>
          <w:rStyle w:val="Strong"/>
          <w:rFonts w:ascii="Calibri" w:eastAsiaTheme="majorEastAsia" w:hAnsi="Calibri" w:cs="Calibri"/>
          <w:sz w:val="20"/>
          <w:szCs w:val="20"/>
        </w:rPr>
        <w:t>Geopolitical events</w:t>
      </w:r>
      <w:r w:rsidRPr="00D760AE">
        <w:rPr>
          <w:rFonts w:ascii="Calibri" w:hAnsi="Calibri" w:cs="Calibri"/>
          <w:sz w:val="20"/>
          <w:szCs w:val="20"/>
        </w:rPr>
        <w:t xml:space="preserve"> (e.g., Russia–Ukraine conflict) had the largest impact on European gas and global crude benchmarks.</w:t>
      </w:r>
    </w:p>
    <w:p w14:paraId="657BB8B8" w14:textId="77777777" w:rsidR="00D760AE" w:rsidRPr="00D760AE" w:rsidRDefault="00D760AE" w:rsidP="00D760AE">
      <w:pPr>
        <w:pStyle w:val="NormalWeb"/>
        <w:numPr>
          <w:ilvl w:val="0"/>
          <w:numId w:val="7"/>
        </w:numPr>
        <w:rPr>
          <w:rFonts w:ascii="Calibri" w:hAnsi="Calibri" w:cs="Calibri"/>
          <w:sz w:val="20"/>
          <w:szCs w:val="20"/>
        </w:rPr>
      </w:pPr>
      <w:r w:rsidRPr="00D760AE">
        <w:rPr>
          <w:rStyle w:val="Strong"/>
          <w:rFonts w:ascii="Calibri" w:eastAsiaTheme="majorEastAsia" w:hAnsi="Calibri" w:cs="Calibri"/>
          <w:sz w:val="20"/>
          <w:szCs w:val="20"/>
        </w:rPr>
        <w:t>Demand shocks</w:t>
      </w:r>
      <w:r w:rsidRPr="00D760AE">
        <w:rPr>
          <w:rFonts w:ascii="Calibri" w:hAnsi="Calibri" w:cs="Calibri"/>
          <w:sz w:val="20"/>
          <w:szCs w:val="20"/>
        </w:rPr>
        <w:t xml:space="preserve"> (e.g., COVID-19) were the primary driver for Jet Fuel, Heating Oil, and WTI’s negative price event.</w:t>
      </w:r>
    </w:p>
    <w:p w14:paraId="566A58C3" w14:textId="77777777" w:rsidR="00D760AE" w:rsidRPr="00D760AE" w:rsidRDefault="00D760AE" w:rsidP="00D760AE">
      <w:pPr>
        <w:pStyle w:val="NormalWeb"/>
        <w:numPr>
          <w:ilvl w:val="0"/>
          <w:numId w:val="7"/>
        </w:numPr>
        <w:rPr>
          <w:rFonts w:ascii="Calibri" w:hAnsi="Calibri" w:cs="Calibri"/>
          <w:sz w:val="20"/>
          <w:szCs w:val="20"/>
        </w:rPr>
      </w:pPr>
      <w:r w:rsidRPr="00D760AE">
        <w:rPr>
          <w:rStyle w:val="Strong"/>
          <w:rFonts w:ascii="Calibri" w:eastAsiaTheme="majorEastAsia" w:hAnsi="Calibri" w:cs="Calibri"/>
          <w:sz w:val="20"/>
          <w:szCs w:val="20"/>
        </w:rPr>
        <w:t>Seasonal factors</w:t>
      </w:r>
      <w:r w:rsidRPr="00D760AE">
        <w:rPr>
          <w:rFonts w:ascii="Calibri" w:hAnsi="Calibri" w:cs="Calibri"/>
          <w:sz w:val="20"/>
          <w:szCs w:val="20"/>
        </w:rPr>
        <w:t xml:space="preserve"> were particularly important for TTF, Heating Oil, and Jet Fuel, amplifying upward extremes in winter months.</w:t>
      </w:r>
    </w:p>
    <w:p w14:paraId="48DC1C96" w14:textId="7777777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4. Observed Patterns</w:t>
      </w:r>
    </w:p>
    <w:p w14:paraId="3F4187F9" w14:textId="77777777" w:rsidR="00D760AE" w:rsidRPr="00D760AE" w:rsidRDefault="00D760AE" w:rsidP="00D760AE">
      <w:pPr>
        <w:pStyle w:val="NormalWeb"/>
        <w:numPr>
          <w:ilvl w:val="0"/>
          <w:numId w:val="8"/>
        </w:numPr>
        <w:rPr>
          <w:rFonts w:ascii="Calibri" w:hAnsi="Calibri" w:cs="Calibri"/>
          <w:sz w:val="20"/>
          <w:szCs w:val="20"/>
        </w:rPr>
      </w:pPr>
      <w:r w:rsidRPr="00D760AE">
        <w:rPr>
          <w:rFonts w:ascii="Calibri" w:hAnsi="Calibri" w:cs="Calibri"/>
          <w:sz w:val="20"/>
          <w:szCs w:val="20"/>
        </w:rPr>
        <w:t>Extreme upward moves often followed periods of sharp downward shocks, reflecting market recovery.</w:t>
      </w:r>
    </w:p>
    <w:p w14:paraId="500A415C" w14:textId="77777777" w:rsidR="00D760AE" w:rsidRPr="00D760AE" w:rsidRDefault="00D760AE" w:rsidP="00D760AE">
      <w:pPr>
        <w:pStyle w:val="NormalWeb"/>
        <w:numPr>
          <w:ilvl w:val="0"/>
          <w:numId w:val="8"/>
        </w:numPr>
        <w:rPr>
          <w:rFonts w:ascii="Calibri" w:hAnsi="Calibri" w:cs="Calibri"/>
          <w:sz w:val="20"/>
          <w:szCs w:val="20"/>
        </w:rPr>
      </w:pPr>
      <w:r w:rsidRPr="00D760AE">
        <w:rPr>
          <w:rFonts w:ascii="Calibri" w:hAnsi="Calibri" w:cs="Calibri"/>
          <w:sz w:val="20"/>
          <w:szCs w:val="20"/>
        </w:rPr>
        <w:t>Extreme downward moves were frequently associated with sudden drops in demand or oversupply.</w:t>
      </w:r>
    </w:p>
    <w:p w14:paraId="347A4176" w14:textId="77777777" w:rsidR="00D760AE" w:rsidRPr="00D760AE" w:rsidRDefault="00D760AE" w:rsidP="00D760AE">
      <w:pPr>
        <w:pStyle w:val="NormalWeb"/>
        <w:numPr>
          <w:ilvl w:val="0"/>
          <w:numId w:val="8"/>
        </w:numPr>
        <w:rPr>
          <w:rFonts w:ascii="Calibri" w:hAnsi="Calibri" w:cs="Calibri"/>
          <w:sz w:val="20"/>
          <w:szCs w:val="20"/>
        </w:rPr>
      </w:pPr>
      <w:r w:rsidRPr="00D760AE">
        <w:rPr>
          <w:rFonts w:ascii="Calibri" w:hAnsi="Calibri" w:cs="Calibri"/>
          <w:sz w:val="20"/>
          <w:szCs w:val="20"/>
        </w:rPr>
        <w:t>Across all commodities, extreme events clustered during periods of systemic disruption, highlighting the sensitivity of energy markets to exogenous shocks.</w:t>
      </w:r>
    </w:p>
    <w:p w14:paraId="512E19F1" w14:textId="01883987" w:rsidR="00D760AE" w:rsidRPr="00D760AE" w:rsidRDefault="00D760AE" w:rsidP="00D760AE">
      <w:pPr>
        <w:pStyle w:val="NormalWeb"/>
        <w:rPr>
          <w:rFonts w:ascii="Calibri" w:hAnsi="Calibri" w:cs="Calibri"/>
          <w:sz w:val="20"/>
          <w:szCs w:val="20"/>
        </w:rPr>
      </w:pPr>
      <w:r w:rsidRPr="00D760AE">
        <w:rPr>
          <w:rStyle w:val="Strong"/>
          <w:rFonts w:ascii="Calibri" w:eastAsiaTheme="majorEastAsia" w:hAnsi="Calibri" w:cs="Calibri"/>
          <w:sz w:val="20"/>
          <w:szCs w:val="20"/>
        </w:rPr>
        <w:t>Conclusion</w:t>
      </w:r>
      <w:r w:rsidRPr="00D760AE">
        <w:rPr>
          <w:rFonts w:ascii="Calibri" w:hAnsi="Calibri" w:cs="Calibri"/>
          <w:sz w:val="20"/>
          <w:szCs w:val="20"/>
        </w:rPr>
        <w:br/>
        <w:t xml:space="preserve">This analysis demonstrates that while each energy commodity exhibits unique drivers of price extremes, common patterns </w:t>
      </w:r>
      <w:proofErr w:type="gramStart"/>
      <w:r w:rsidRPr="00D760AE">
        <w:rPr>
          <w:rFonts w:ascii="Calibri" w:hAnsi="Calibri" w:cs="Calibri"/>
          <w:sz w:val="20"/>
          <w:szCs w:val="20"/>
        </w:rPr>
        <w:t>emerge</w:t>
      </w:r>
      <w:r>
        <w:rPr>
          <w:rFonts w:ascii="Calibri" w:hAnsi="Calibri" w:cs="Calibri"/>
          <w:sz w:val="20"/>
          <w:szCs w:val="20"/>
        </w:rPr>
        <w:t>:</w:t>
      </w:r>
      <w:proofErr w:type="gramEnd"/>
      <w:r w:rsidRPr="00D760AE">
        <w:rPr>
          <w:rFonts w:ascii="Calibri" w:hAnsi="Calibri" w:cs="Calibri"/>
          <w:sz w:val="20"/>
          <w:szCs w:val="20"/>
        </w:rPr>
        <w:t xml:space="preserve"> extreme price movements are concentrated during periods of demand shocks, geopolitical uncertainty, and structural supply constraints. Quantitative extreme analysis, paired with contextual interpretation, provides a powerful framework for understanding market behaviour and anticipating potential future volatility.</w:t>
      </w:r>
    </w:p>
    <w:p w14:paraId="0D8224BA" w14:textId="75801629" w:rsidR="00D760AE" w:rsidRPr="00D760AE" w:rsidRDefault="00D760AE" w:rsidP="00D760AE">
      <w:pPr>
        <w:pStyle w:val="NormalWeb"/>
        <w:rPr>
          <w:rFonts w:ascii="Calibri" w:hAnsi="Calibri" w:cs="Calibri"/>
          <w:sz w:val="20"/>
          <w:szCs w:val="20"/>
        </w:rPr>
      </w:pPr>
    </w:p>
    <w:p w14:paraId="0AC49056" w14:textId="77777777" w:rsidR="00D760AE" w:rsidRPr="00D760AE" w:rsidRDefault="00D760AE" w:rsidP="00D760AE">
      <w:pPr>
        <w:pStyle w:val="NormalWeb"/>
        <w:rPr>
          <w:rFonts w:ascii="Calibri" w:hAnsi="Calibri" w:cs="Calibri"/>
          <w:sz w:val="20"/>
          <w:szCs w:val="20"/>
        </w:rPr>
      </w:pPr>
    </w:p>
    <w:p w14:paraId="6C2F9616" w14:textId="77777777" w:rsidR="00D760AE" w:rsidRPr="00D760AE" w:rsidRDefault="00D760AE" w:rsidP="00D760AE">
      <w:pPr>
        <w:pStyle w:val="NormalWeb"/>
        <w:rPr>
          <w:rFonts w:ascii="Calibri" w:hAnsi="Calibri" w:cs="Calibri"/>
          <w:sz w:val="20"/>
          <w:szCs w:val="20"/>
        </w:rPr>
      </w:pPr>
    </w:p>
    <w:p w14:paraId="3F2ADC37" w14:textId="77777777" w:rsidR="00D760AE" w:rsidRPr="00D760AE" w:rsidRDefault="00D760AE" w:rsidP="00D760AE">
      <w:pPr>
        <w:pStyle w:val="NormalWeb"/>
        <w:rPr>
          <w:rFonts w:ascii="Calibri" w:hAnsi="Calibri" w:cs="Calibri"/>
          <w:sz w:val="20"/>
          <w:szCs w:val="20"/>
        </w:rPr>
      </w:pPr>
    </w:p>
    <w:p w14:paraId="36D1B83F" w14:textId="77777777" w:rsidR="00DE5DDB" w:rsidRPr="00DE5DDB" w:rsidRDefault="00DE5DDB" w:rsidP="00DE5DDB">
      <w:pPr>
        <w:pStyle w:val="NormalWeb"/>
        <w:rPr>
          <w:rFonts w:ascii="Calibri" w:hAnsi="Calibri" w:cs="Calibri"/>
          <w:sz w:val="20"/>
          <w:szCs w:val="20"/>
        </w:rPr>
      </w:pPr>
    </w:p>
    <w:p w14:paraId="75C12D7B" w14:textId="77777777" w:rsidR="00DE5DDB" w:rsidRPr="00DE5DDB" w:rsidRDefault="00DE5DDB" w:rsidP="00DE5DDB">
      <w:pPr>
        <w:pStyle w:val="NormalWeb"/>
        <w:rPr>
          <w:rFonts w:ascii="Calibri" w:hAnsi="Calibri" w:cs="Calibri"/>
          <w:sz w:val="20"/>
          <w:szCs w:val="20"/>
        </w:rPr>
      </w:pPr>
    </w:p>
    <w:p w14:paraId="748AEF3A" w14:textId="77777777" w:rsidR="00DE5DDB" w:rsidRPr="00DE5DDB" w:rsidRDefault="00DE5DDB" w:rsidP="00DE5DDB">
      <w:pPr>
        <w:pStyle w:val="NormalWeb"/>
        <w:rPr>
          <w:rFonts w:ascii="Calibri" w:hAnsi="Calibri" w:cs="Calibri"/>
          <w:sz w:val="20"/>
          <w:szCs w:val="20"/>
        </w:rPr>
      </w:pPr>
    </w:p>
    <w:p w14:paraId="23F80549" w14:textId="77777777" w:rsidR="000C46D0" w:rsidRPr="000C46D0" w:rsidRDefault="000C46D0" w:rsidP="000C46D0">
      <w:pPr>
        <w:pStyle w:val="NormalWeb"/>
        <w:rPr>
          <w:rFonts w:ascii="Calibri" w:hAnsi="Calibri" w:cs="Calibri"/>
          <w:sz w:val="20"/>
          <w:szCs w:val="20"/>
        </w:rPr>
      </w:pPr>
    </w:p>
    <w:p w14:paraId="5E51D2A3" w14:textId="77777777" w:rsidR="000C46D0" w:rsidRDefault="000C46D0" w:rsidP="000C46D0">
      <w:pPr>
        <w:pStyle w:val="NormalWeb"/>
        <w:rPr>
          <w:rFonts w:ascii="Calibri" w:hAnsi="Calibri" w:cs="Calibri"/>
          <w:sz w:val="20"/>
          <w:szCs w:val="20"/>
        </w:rPr>
      </w:pPr>
    </w:p>
    <w:p w14:paraId="20C36806" w14:textId="77777777" w:rsidR="000C46D0" w:rsidRPr="000C46D0" w:rsidRDefault="000C46D0" w:rsidP="000C46D0">
      <w:pPr>
        <w:pStyle w:val="NormalWeb"/>
        <w:rPr>
          <w:rFonts w:ascii="Calibri" w:hAnsi="Calibri" w:cs="Calibri"/>
          <w:sz w:val="20"/>
          <w:szCs w:val="20"/>
        </w:rPr>
      </w:pPr>
    </w:p>
    <w:p w14:paraId="17391293" w14:textId="77777777" w:rsidR="000C46D0" w:rsidRDefault="000C46D0" w:rsidP="000C46D0">
      <w:pPr>
        <w:pStyle w:val="NormalWeb"/>
        <w:rPr>
          <w:rFonts w:ascii="Calibri" w:hAnsi="Calibri" w:cs="Calibri"/>
          <w:sz w:val="20"/>
          <w:szCs w:val="20"/>
        </w:rPr>
      </w:pPr>
    </w:p>
    <w:p w14:paraId="1395FFC2" w14:textId="77777777" w:rsidR="00464B0D" w:rsidRPr="00464B0D" w:rsidRDefault="00464B0D" w:rsidP="00464B0D">
      <w:pPr>
        <w:pStyle w:val="NormalWeb"/>
        <w:rPr>
          <w:rFonts w:ascii="Calibri" w:hAnsi="Calibri" w:cs="Calibri"/>
          <w:sz w:val="20"/>
          <w:szCs w:val="20"/>
        </w:rPr>
      </w:pPr>
    </w:p>
    <w:p w14:paraId="2B22ADB0" w14:textId="77777777" w:rsidR="00DB41FD" w:rsidRDefault="00DB41FD" w:rsidP="00DB41FD">
      <w:pPr>
        <w:pStyle w:val="NormalWeb"/>
        <w:rPr>
          <w:rFonts w:ascii="Calibri" w:hAnsi="Calibri" w:cs="Calibri"/>
          <w:sz w:val="20"/>
          <w:szCs w:val="20"/>
        </w:rPr>
      </w:pPr>
    </w:p>
    <w:p w14:paraId="1AFC587F" w14:textId="77777777" w:rsidR="00DB41FD" w:rsidRPr="00DB41FD" w:rsidRDefault="00DB41FD" w:rsidP="00DB41FD">
      <w:pPr>
        <w:pStyle w:val="NormalWeb"/>
        <w:rPr>
          <w:rFonts w:ascii="Calibri" w:hAnsi="Calibri" w:cs="Calibri"/>
          <w:sz w:val="20"/>
          <w:szCs w:val="20"/>
        </w:rPr>
      </w:pPr>
    </w:p>
    <w:p w14:paraId="62C4E4E6" w14:textId="77777777" w:rsidR="00DB41FD" w:rsidRPr="00DB41FD" w:rsidRDefault="00DB41FD" w:rsidP="00DB41FD">
      <w:pPr>
        <w:pStyle w:val="NormalWeb"/>
        <w:rPr>
          <w:rFonts w:ascii="Calibri" w:hAnsi="Calibri" w:cs="Calibri"/>
          <w:sz w:val="20"/>
          <w:szCs w:val="20"/>
        </w:rPr>
      </w:pPr>
    </w:p>
    <w:p w14:paraId="4B410C03" w14:textId="77777777" w:rsidR="00DB41FD" w:rsidRPr="00DB41FD" w:rsidRDefault="00DB41FD" w:rsidP="00DB41FD">
      <w:pPr>
        <w:pStyle w:val="NormalWeb"/>
        <w:rPr>
          <w:rFonts w:ascii="Calibri" w:hAnsi="Calibri" w:cs="Calibri"/>
          <w:sz w:val="20"/>
          <w:szCs w:val="20"/>
        </w:rPr>
      </w:pPr>
    </w:p>
    <w:p w14:paraId="66640E94" w14:textId="77777777" w:rsidR="002B4F22" w:rsidRPr="00DB41FD" w:rsidRDefault="002B4F22" w:rsidP="00E37277">
      <w:pPr>
        <w:pStyle w:val="ListParagraph"/>
        <w:rPr>
          <w:rFonts w:ascii="Calibri" w:hAnsi="Calibri" w:cs="Calibri"/>
          <w:sz w:val="20"/>
          <w:szCs w:val="20"/>
        </w:rPr>
      </w:pPr>
    </w:p>
    <w:p w14:paraId="5F061264" w14:textId="77777777" w:rsidR="002B4F22" w:rsidRPr="00DB41FD" w:rsidRDefault="002B4F22" w:rsidP="00E37277">
      <w:pPr>
        <w:pStyle w:val="ListParagraph"/>
        <w:rPr>
          <w:rFonts w:ascii="Calibri" w:hAnsi="Calibri" w:cs="Calibri"/>
          <w:sz w:val="20"/>
          <w:szCs w:val="20"/>
        </w:rPr>
      </w:pPr>
    </w:p>
    <w:p w14:paraId="2344EC69" w14:textId="77777777" w:rsidR="00F920A4" w:rsidRPr="00DB41FD" w:rsidRDefault="00F920A4" w:rsidP="00E37277">
      <w:pPr>
        <w:pStyle w:val="ListParagraph"/>
        <w:rPr>
          <w:rFonts w:ascii="Calibri" w:hAnsi="Calibri" w:cs="Calibri"/>
          <w:sz w:val="20"/>
          <w:szCs w:val="20"/>
        </w:rPr>
      </w:pPr>
    </w:p>
    <w:p w14:paraId="5709A4E1" w14:textId="77777777" w:rsidR="00F920A4" w:rsidRDefault="00F920A4" w:rsidP="00E37277">
      <w:pPr>
        <w:pStyle w:val="ListParagraph"/>
        <w:rPr>
          <w:sz w:val="20"/>
          <w:szCs w:val="20"/>
        </w:rPr>
      </w:pPr>
    </w:p>
    <w:p w14:paraId="467560E9" w14:textId="77777777" w:rsidR="00F920A4" w:rsidRDefault="00F920A4" w:rsidP="00E37277">
      <w:pPr>
        <w:pStyle w:val="ListParagraph"/>
        <w:rPr>
          <w:sz w:val="20"/>
          <w:szCs w:val="20"/>
        </w:rPr>
      </w:pPr>
    </w:p>
    <w:p w14:paraId="2B66688F" w14:textId="77777777" w:rsidR="00F920A4" w:rsidRDefault="00F920A4" w:rsidP="00E37277">
      <w:pPr>
        <w:pStyle w:val="ListParagraph"/>
        <w:rPr>
          <w:sz w:val="20"/>
          <w:szCs w:val="20"/>
        </w:rPr>
      </w:pPr>
    </w:p>
    <w:p w14:paraId="09143142" w14:textId="77777777" w:rsidR="00F920A4" w:rsidRDefault="00F920A4" w:rsidP="00E37277">
      <w:pPr>
        <w:pStyle w:val="ListParagraph"/>
        <w:rPr>
          <w:sz w:val="20"/>
          <w:szCs w:val="20"/>
        </w:rPr>
      </w:pPr>
    </w:p>
    <w:p w14:paraId="65D87B65" w14:textId="77777777" w:rsidR="00F920A4" w:rsidRDefault="00F920A4" w:rsidP="00E37277">
      <w:pPr>
        <w:pStyle w:val="ListParagraph"/>
        <w:rPr>
          <w:sz w:val="20"/>
          <w:szCs w:val="20"/>
        </w:rPr>
      </w:pPr>
    </w:p>
    <w:p w14:paraId="3EB286EC" w14:textId="77777777" w:rsidR="004159B4" w:rsidRDefault="004159B4" w:rsidP="00E37277">
      <w:pPr>
        <w:pStyle w:val="ListParagraph"/>
        <w:rPr>
          <w:sz w:val="20"/>
          <w:szCs w:val="20"/>
        </w:rPr>
      </w:pPr>
    </w:p>
    <w:p w14:paraId="7F4780C1" w14:textId="77777777" w:rsidR="00E37277" w:rsidRPr="00E37277" w:rsidRDefault="00E37277" w:rsidP="00E37277">
      <w:pPr>
        <w:pStyle w:val="ListParagraph"/>
        <w:rPr>
          <w:sz w:val="20"/>
          <w:szCs w:val="20"/>
        </w:rPr>
      </w:pPr>
    </w:p>
    <w:sectPr w:rsidR="00E37277" w:rsidRPr="00E372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91103"/>
    <w:multiLevelType w:val="hybridMultilevel"/>
    <w:tmpl w:val="A0623D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A171D6"/>
    <w:multiLevelType w:val="multilevel"/>
    <w:tmpl w:val="D40E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4522D"/>
    <w:multiLevelType w:val="hybridMultilevel"/>
    <w:tmpl w:val="D2A458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0A2B02"/>
    <w:multiLevelType w:val="hybridMultilevel"/>
    <w:tmpl w:val="745205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F360E3E"/>
    <w:multiLevelType w:val="multilevel"/>
    <w:tmpl w:val="2D4E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81C00"/>
    <w:multiLevelType w:val="multilevel"/>
    <w:tmpl w:val="E882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D660A7"/>
    <w:multiLevelType w:val="multilevel"/>
    <w:tmpl w:val="6AF6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ED46FE"/>
    <w:multiLevelType w:val="hybridMultilevel"/>
    <w:tmpl w:val="F5405C7E"/>
    <w:lvl w:ilvl="0" w:tplc="41E08E20">
      <w:start w:val="1"/>
      <w:numFmt w:val="decimal"/>
      <w:lvlText w:val="%1."/>
      <w:lvlJc w:val="left"/>
      <w:pPr>
        <w:ind w:left="1120" w:hanging="360"/>
      </w:pPr>
      <w:rPr>
        <w:rFonts w:hint="default"/>
      </w:rPr>
    </w:lvl>
    <w:lvl w:ilvl="1" w:tplc="08090019" w:tentative="1">
      <w:start w:val="1"/>
      <w:numFmt w:val="lowerLetter"/>
      <w:lvlText w:val="%2."/>
      <w:lvlJc w:val="left"/>
      <w:pPr>
        <w:ind w:left="1840" w:hanging="360"/>
      </w:pPr>
    </w:lvl>
    <w:lvl w:ilvl="2" w:tplc="0809001B" w:tentative="1">
      <w:start w:val="1"/>
      <w:numFmt w:val="lowerRoman"/>
      <w:lvlText w:val="%3."/>
      <w:lvlJc w:val="right"/>
      <w:pPr>
        <w:ind w:left="2560" w:hanging="180"/>
      </w:pPr>
    </w:lvl>
    <w:lvl w:ilvl="3" w:tplc="0809000F" w:tentative="1">
      <w:start w:val="1"/>
      <w:numFmt w:val="decimal"/>
      <w:lvlText w:val="%4."/>
      <w:lvlJc w:val="left"/>
      <w:pPr>
        <w:ind w:left="3280" w:hanging="360"/>
      </w:pPr>
    </w:lvl>
    <w:lvl w:ilvl="4" w:tplc="08090019" w:tentative="1">
      <w:start w:val="1"/>
      <w:numFmt w:val="lowerLetter"/>
      <w:lvlText w:val="%5."/>
      <w:lvlJc w:val="left"/>
      <w:pPr>
        <w:ind w:left="4000" w:hanging="360"/>
      </w:pPr>
    </w:lvl>
    <w:lvl w:ilvl="5" w:tplc="0809001B" w:tentative="1">
      <w:start w:val="1"/>
      <w:numFmt w:val="lowerRoman"/>
      <w:lvlText w:val="%6."/>
      <w:lvlJc w:val="right"/>
      <w:pPr>
        <w:ind w:left="4720" w:hanging="180"/>
      </w:pPr>
    </w:lvl>
    <w:lvl w:ilvl="6" w:tplc="0809000F" w:tentative="1">
      <w:start w:val="1"/>
      <w:numFmt w:val="decimal"/>
      <w:lvlText w:val="%7."/>
      <w:lvlJc w:val="left"/>
      <w:pPr>
        <w:ind w:left="5440" w:hanging="360"/>
      </w:pPr>
    </w:lvl>
    <w:lvl w:ilvl="7" w:tplc="08090019" w:tentative="1">
      <w:start w:val="1"/>
      <w:numFmt w:val="lowerLetter"/>
      <w:lvlText w:val="%8."/>
      <w:lvlJc w:val="left"/>
      <w:pPr>
        <w:ind w:left="6160" w:hanging="360"/>
      </w:pPr>
    </w:lvl>
    <w:lvl w:ilvl="8" w:tplc="0809001B" w:tentative="1">
      <w:start w:val="1"/>
      <w:numFmt w:val="lowerRoman"/>
      <w:lvlText w:val="%9."/>
      <w:lvlJc w:val="right"/>
      <w:pPr>
        <w:ind w:left="6880" w:hanging="180"/>
      </w:pPr>
    </w:lvl>
  </w:abstractNum>
  <w:num w:numId="1" w16cid:durableId="892739984">
    <w:abstractNumId w:val="3"/>
  </w:num>
  <w:num w:numId="2" w16cid:durableId="538322212">
    <w:abstractNumId w:val="7"/>
  </w:num>
  <w:num w:numId="3" w16cid:durableId="1822622197">
    <w:abstractNumId w:val="0"/>
  </w:num>
  <w:num w:numId="4" w16cid:durableId="1992639167">
    <w:abstractNumId w:val="2"/>
  </w:num>
  <w:num w:numId="5" w16cid:durableId="678434191">
    <w:abstractNumId w:val="5"/>
  </w:num>
  <w:num w:numId="6" w16cid:durableId="1891263605">
    <w:abstractNumId w:val="4"/>
  </w:num>
  <w:num w:numId="7" w16cid:durableId="1448042037">
    <w:abstractNumId w:val="1"/>
  </w:num>
  <w:num w:numId="8" w16cid:durableId="12406798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277"/>
    <w:rsid w:val="000C46D0"/>
    <w:rsid w:val="002B4F22"/>
    <w:rsid w:val="003E74E8"/>
    <w:rsid w:val="004159B4"/>
    <w:rsid w:val="00464B0D"/>
    <w:rsid w:val="00685445"/>
    <w:rsid w:val="008E1919"/>
    <w:rsid w:val="00C9458B"/>
    <w:rsid w:val="00D760AE"/>
    <w:rsid w:val="00DB41FD"/>
    <w:rsid w:val="00DE5DDB"/>
    <w:rsid w:val="00E37277"/>
    <w:rsid w:val="00E44141"/>
    <w:rsid w:val="00E46EB0"/>
    <w:rsid w:val="00F92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9366251"/>
  <w15:chartTrackingRefBased/>
  <w15:docId w15:val="{81ACDC2F-31E2-AE44-BB19-8F446B229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72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72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72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72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72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72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72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72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72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72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72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72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72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72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72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72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72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7277"/>
    <w:rPr>
      <w:rFonts w:eastAsiaTheme="majorEastAsia" w:cstheme="majorBidi"/>
      <w:color w:val="272727" w:themeColor="text1" w:themeTint="D8"/>
    </w:rPr>
  </w:style>
  <w:style w:type="paragraph" w:styleId="Title">
    <w:name w:val="Title"/>
    <w:basedOn w:val="Normal"/>
    <w:next w:val="Normal"/>
    <w:link w:val="TitleChar"/>
    <w:uiPriority w:val="10"/>
    <w:qFormat/>
    <w:rsid w:val="00E37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72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72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72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7277"/>
    <w:pPr>
      <w:spacing w:before="160"/>
      <w:jc w:val="center"/>
    </w:pPr>
    <w:rPr>
      <w:i/>
      <w:iCs/>
      <w:color w:val="404040" w:themeColor="text1" w:themeTint="BF"/>
    </w:rPr>
  </w:style>
  <w:style w:type="character" w:customStyle="1" w:styleId="QuoteChar">
    <w:name w:val="Quote Char"/>
    <w:basedOn w:val="DefaultParagraphFont"/>
    <w:link w:val="Quote"/>
    <w:uiPriority w:val="29"/>
    <w:rsid w:val="00E37277"/>
    <w:rPr>
      <w:i/>
      <w:iCs/>
      <w:color w:val="404040" w:themeColor="text1" w:themeTint="BF"/>
    </w:rPr>
  </w:style>
  <w:style w:type="paragraph" w:styleId="ListParagraph">
    <w:name w:val="List Paragraph"/>
    <w:basedOn w:val="Normal"/>
    <w:uiPriority w:val="34"/>
    <w:qFormat/>
    <w:rsid w:val="00E37277"/>
    <w:pPr>
      <w:ind w:left="720"/>
      <w:contextualSpacing/>
    </w:pPr>
  </w:style>
  <w:style w:type="character" w:styleId="IntenseEmphasis">
    <w:name w:val="Intense Emphasis"/>
    <w:basedOn w:val="DefaultParagraphFont"/>
    <w:uiPriority w:val="21"/>
    <w:qFormat/>
    <w:rsid w:val="00E37277"/>
    <w:rPr>
      <w:i/>
      <w:iCs/>
      <w:color w:val="0F4761" w:themeColor="accent1" w:themeShade="BF"/>
    </w:rPr>
  </w:style>
  <w:style w:type="paragraph" w:styleId="IntenseQuote">
    <w:name w:val="Intense Quote"/>
    <w:basedOn w:val="Normal"/>
    <w:next w:val="Normal"/>
    <w:link w:val="IntenseQuoteChar"/>
    <w:uiPriority w:val="30"/>
    <w:qFormat/>
    <w:rsid w:val="00E37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7277"/>
    <w:rPr>
      <w:i/>
      <w:iCs/>
      <w:color w:val="0F4761" w:themeColor="accent1" w:themeShade="BF"/>
    </w:rPr>
  </w:style>
  <w:style w:type="character" w:styleId="IntenseReference">
    <w:name w:val="Intense Reference"/>
    <w:basedOn w:val="DefaultParagraphFont"/>
    <w:uiPriority w:val="32"/>
    <w:qFormat/>
    <w:rsid w:val="00E37277"/>
    <w:rPr>
      <w:b/>
      <w:bCs/>
      <w:smallCaps/>
      <w:color w:val="0F4761" w:themeColor="accent1" w:themeShade="BF"/>
      <w:spacing w:val="5"/>
    </w:rPr>
  </w:style>
  <w:style w:type="paragraph" w:styleId="NormalWeb">
    <w:name w:val="Normal (Web)"/>
    <w:basedOn w:val="Normal"/>
    <w:uiPriority w:val="99"/>
    <w:unhideWhenUsed/>
    <w:rsid w:val="002B4F2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whitespace-normal">
    <w:name w:val="whitespace-normal"/>
    <w:basedOn w:val="DefaultParagraphFont"/>
    <w:rsid w:val="00DB41FD"/>
  </w:style>
  <w:style w:type="character" w:styleId="Strong">
    <w:name w:val="Strong"/>
    <w:basedOn w:val="DefaultParagraphFont"/>
    <w:uiPriority w:val="22"/>
    <w:qFormat/>
    <w:rsid w:val="00D760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1257</Words>
  <Characters>7166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Isaacs</dc:creator>
  <cp:keywords/>
  <dc:description/>
  <cp:lastModifiedBy>Aaron Isaacs</cp:lastModifiedBy>
  <cp:revision>2</cp:revision>
  <dcterms:created xsi:type="dcterms:W3CDTF">2026-02-16T12:34:00Z</dcterms:created>
  <dcterms:modified xsi:type="dcterms:W3CDTF">2026-02-16T18:02:00Z</dcterms:modified>
</cp:coreProperties>
</file>