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6F82" w14:textId="384BD88D" w:rsidR="002B4F22" w:rsidRPr="00685445" w:rsidRDefault="00685445" w:rsidP="002B4F22">
      <w:pPr>
        <w:pStyle w:val="NormalWeb"/>
        <w:rPr>
          <w:rFonts w:ascii="Calibri" w:hAnsi="Calibri" w:cs="Calibri"/>
          <w:b/>
          <w:bCs/>
          <w:u w:val="single"/>
        </w:rPr>
      </w:pPr>
      <w:r w:rsidRPr="00685445">
        <w:rPr>
          <w:rFonts w:ascii="Calibri" w:hAnsi="Calibri" w:cs="Calibri"/>
          <w:b/>
          <w:bCs/>
          <w:u w:val="single"/>
        </w:rPr>
        <w:t>Extreme points summary (2018-present)</w:t>
      </w:r>
    </w:p>
    <w:p w14:paraId="0A82CA50" w14:textId="4DE61A22" w:rsidR="002B4F22" w:rsidRPr="002B4F22" w:rsidRDefault="002B4F22" w:rsidP="002B4F22">
      <w:pPr>
        <w:pStyle w:val="NormalWeb"/>
        <w:rPr>
          <w:rFonts w:ascii="Calibri" w:hAnsi="Calibri" w:cs="Calibri"/>
          <w:sz w:val="20"/>
          <w:szCs w:val="20"/>
        </w:rPr>
      </w:pPr>
      <w:r w:rsidRPr="002B4F22">
        <w:rPr>
          <w:rFonts w:ascii="Calibri" w:hAnsi="Calibri" w:cs="Calibri"/>
          <w:sz w:val="20"/>
          <w:szCs w:val="20"/>
        </w:rPr>
        <w:t>Between 2018 and early 2021, Dutch TTF gas prices traded within a relatively stable range of roughly 3–28. Volatility during this period was limited, with few statistically significant extreme moves.</w:t>
      </w:r>
    </w:p>
    <w:p w14:paraId="56980CEB" w14:textId="3FEEF97E" w:rsidR="002B4F22" w:rsidRPr="002B4F22" w:rsidRDefault="002B4F22" w:rsidP="002B4F22">
      <w:pPr>
        <w:pStyle w:val="NormalWeb"/>
        <w:rPr>
          <w:rFonts w:ascii="Calibri" w:hAnsi="Calibri" w:cs="Calibri"/>
          <w:sz w:val="20"/>
          <w:szCs w:val="20"/>
        </w:rPr>
      </w:pPr>
      <w:r w:rsidRPr="002B4F22">
        <w:rPr>
          <w:rFonts w:ascii="Calibri" w:hAnsi="Calibri" w:cs="Calibri"/>
          <w:sz w:val="20"/>
          <w:szCs w:val="20"/>
        </w:rPr>
        <w:t xml:space="preserve">However, between September and December 2019, four upward extremes occurred (defined as returns exceeding ±3 standard deviations from the mean). These moves followed a rebound from historically </w:t>
      </w:r>
      <w:r w:rsidRPr="002B4F22">
        <w:rPr>
          <w:rFonts w:ascii="Calibri" w:hAnsi="Calibri" w:cs="Calibri"/>
          <w:sz w:val="20"/>
          <w:szCs w:val="20"/>
        </w:rPr>
        <w:t>low-price</w:t>
      </w:r>
      <w:r w:rsidRPr="002B4F22">
        <w:rPr>
          <w:rFonts w:ascii="Calibri" w:hAnsi="Calibri" w:cs="Calibri"/>
          <w:sz w:val="20"/>
          <w:szCs w:val="20"/>
        </w:rPr>
        <w:t xml:space="preserve"> levels earlier that year. The recovery was driven primarily by seasonal demand increases ahead of winter, alongside temporary supply constraints caused by pipeline maintenance.</w:t>
      </w:r>
    </w:p>
    <w:p w14:paraId="22347382" w14:textId="77777777" w:rsidR="002B4F22" w:rsidRPr="002B4F22" w:rsidRDefault="002B4F22" w:rsidP="002B4F22">
      <w:pPr>
        <w:pStyle w:val="NormalWeb"/>
        <w:rPr>
          <w:rFonts w:ascii="Calibri" w:hAnsi="Calibri" w:cs="Calibri"/>
          <w:sz w:val="20"/>
          <w:szCs w:val="20"/>
        </w:rPr>
      </w:pPr>
      <w:r w:rsidRPr="002B4F22">
        <w:rPr>
          <w:rFonts w:ascii="Calibri" w:hAnsi="Calibri" w:cs="Calibri"/>
          <w:sz w:val="20"/>
          <w:szCs w:val="20"/>
        </w:rPr>
        <w:t>In 2020, four additional extreme events were observed. The first was a sharp downward move during spring, followed by two upward extremes in summer and another in September. The initial drop coincided with global COVID-19 lockdowns, which created a severe demand shock combined with excess supply, producing unusually low prices. The subsequent upward extremes reflected market recovery as economies reopened and seasonal demand expectations normalised.</w:t>
      </w:r>
    </w:p>
    <w:p w14:paraId="513FF76D" w14:textId="77777777" w:rsidR="002B4F22" w:rsidRPr="002B4F22" w:rsidRDefault="002B4F22" w:rsidP="002B4F22">
      <w:pPr>
        <w:pStyle w:val="NormalWeb"/>
        <w:rPr>
          <w:rFonts w:ascii="Calibri" w:hAnsi="Calibri" w:cs="Calibri"/>
          <w:sz w:val="20"/>
          <w:szCs w:val="20"/>
        </w:rPr>
      </w:pPr>
      <w:r w:rsidRPr="002B4F22">
        <w:rPr>
          <w:rFonts w:ascii="Calibri" w:hAnsi="Calibri" w:cs="Calibri"/>
          <w:sz w:val="20"/>
          <w:szCs w:val="20"/>
        </w:rPr>
        <w:t>Price behaviour changed dramatically in 2021–2022, with values ranging from roughly 28 to a peak near 345. During this period, eleven upward and eight downward extremes were recorded, indicating severe instability. This volatility was primarily driven by geopolitical disruption linked to the conflict between Russia and Ukraine, which reduced Russian gas flows to Europe and triggered sanctions-related supply concerns. These conditions forced European buyers to compete for alternative supply sources, sharply increasing prices. Short-term downward moves during this period can be attributed to temporary supply adjustments and intermittent diplomatic developments.</w:t>
      </w:r>
    </w:p>
    <w:p w14:paraId="1E03E917" w14:textId="77777777" w:rsidR="002B4F22" w:rsidRPr="002B4F22" w:rsidRDefault="002B4F22" w:rsidP="002B4F22">
      <w:pPr>
        <w:pStyle w:val="NormalWeb"/>
        <w:rPr>
          <w:rFonts w:ascii="Calibri" w:hAnsi="Calibri" w:cs="Calibri"/>
          <w:sz w:val="20"/>
          <w:szCs w:val="20"/>
        </w:rPr>
      </w:pPr>
      <w:r w:rsidRPr="002B4F22">
        <w:rPr>
          <w:rFonts w:ascii="Calibri" w:hAnsi="Calibri" w:cs="Calibri"/>
          <w:sz w:val="20"/>
          <w:szCs w:val="20"/>
        </w:rPr>
        <w:t>From 2023 to the present, volatility has moderated significantly. Nevertheless, the market still recorded three downward extremes and four upward extremes during 2023. Downward moves were likely driven by softer demand due to mild weather and strong LNG supply, while upward spikes were associated with colder weather expectations and persistent geopolitical risk premiums.</w:t>
      </w:r>
    </w:p>
    <w:p w14:paraId="66640E94" w14:textId="77777777" w:rsidR="002B4F22" w:rsidRDefault="002B4F22" w:rsidP="00E37277">
      <w:pPr>
        <w:pStyle w:val="ListParagraph"/>
        <w:rPr>
          <w:sz w:val="20"/>
          <w:szCs w:val="20"/>
        </w:rPr>
      </w:pPr>
    </w:p>
    <w:p w14:paraId="5F061264" w14:textId="77777777" w:rsidR="002B4F22" w:rsidRDefault="002B4F22" w:rsidP="00E37277">
      <w:pPr>
        <w:pStyle w:val="ListParagraph"/>
        <w:rPr>
          <w:sz w:val="20"/>
          <w:szCs w:val="20"/>
        </w:rPr>
      </w:pPr>
    </w:p>
    <w:p w14:paraId="2344EC69" w14:textId="77777777" w:rsidR="00F920A4" w:rsidRDefault="00F920A4" w:rsidP="00E37277">
      <w:pPr>
        <w:pStyle w:val="ListParagraph"/>
        <w:rPr>
          <w:sz w:val="20"/>
          <w:szCs w:val="20"/>
        </w:rPr>
      </w:pPr>
    </w:p>
    <w:p w14:paraId="5709A4E1" w14:textId="77777777" w:rsidR="00F920A4" w:rsidRDefault="00F920A4" w:rsidP="00E37277">
      <w:pPr>
        <w:pStyle w:val="ListParagraph"/>
        <w:rPr>
          <w:sz w:val="20"/>
          <w:szCs w:val="20"/>
        </w:rPr>
      </w:pPr>
    </w:p>
    <w:p w14:paraId="467560E9" w14:textId="77777777" w:rsidR="00F920A4" w:rsidRDefault="00F920A4" w:rsidP="00E37277">
      <w:pPr>
        <w:pStyle w:val="ListParagraph"/>
        <w:rPr>
          <w:sz w:val="20"/>
          <w:szCs w:val="20"/>
        </w:rPr>
      </w:pPr>
    </w:p>
    <w:p w14:paraId="2B66688F" w14:textId="77777777" w:rsidR="00F920A4" w:rsidRDefault="00F920A4" w:rsidP="00E37277">
      <w:pPr>
        <w:pStyle w:val="ListParagraph"/>
        <w:rPr>
          <w:sz w:val="20"/>
          <w:szCs w:val="20"/>
        </w:rPr>
      </w:pPr>
    </w:p>
    <w:p w14:paraId="09143142" w14:textId="77777777" w:rsidR="00F920A4" w:rsidRDefault="00F920A4" w:rsidP="00E37277">
      <w:pPr>
        <w:pStyle w:val="ListParagraph"/>
        <w:rPr>
          <w:sz w:val="20"/>
          <w:szCs w:val="20"/>
        </w:rPr>
      </w:pPr>
    </w:p>
    <w:p w14:paraId="65D87B65" w14:textId="77777777" w:rsidR="00F920A4" w:rsidRDefault="00F920A4" w:rsidP="00E37277">
      <w:pPr>
        <w:pStyle w:val="ListParagraph"/>
        <w:rPr>
          <w:sz w:val="20"/>
          <w:szCs w:val="20"/>
        </w:rPr>
      </w:pPr>
    </w:p>
    <w:p w14:paraId="3EB286EC" w14:textId="77777777" w:rsidR="004159B4" w:rsidRDefault="004159B4" w:rsidP="00E37277">
      <w:pPr>
        <w:pStyle w:val="ListParagraph"/>
        <w:rPr>
          <w:sz w:val="20"/>
          <w:szCs w:val="20"/>
        </w:rPr>
      </w:pPr>
    </w:p>
    <w:p w14:paraId="7F4780C1" w14:textId="77777777" w:rsidR="00E37277" w:rsidRPr="00E37277" w:rsidRDefault="00E37277" w:rsidP="00E37277">
      <w:pPr>
        <w:pStyle w:val="ListParagraph"/>
        <w:rPr>
          <w:sz w:val="20"/>
          <w:szCs w:val="20"/>
        </w:rPr>
      </w:pPr>
    </w:p>
    <w:sectPr w:rsidR="00E37277" w:rsidRPr="00E37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A2B02"/>
    <w:multiLevelType w:val="hybridMultilevel"/>
    <w:tmpl w:val="74520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2ED46FE"/>
    <w:multiLevelType w:val="hybridMultilevel"/>
    <w:tmpl w:val="F5405C7E"/>
    <w:lvl w:ilvl="0" w:tplc="41E08E20">
      <w:start w:val="1"/>
      <w:numFmt w:val="decimal"/>
      <w:lvlText w:val="%1."/>
      <w:lvlJc w:val="left"/>
      <w:pPr>
        <w:ind w:left="1120" w:hanging="360"/>
      </w:pPr>
      <w:rPr>
        <w:rFonts w:hint="default"/>
      </w:rPr>
    </w:lvl>
    <w:lvl w:ilvl="1" w:tplc="08090019" w:tentative="1">
      <w:start w:val="1"/>
      <w:numFmt w:val="lowerLetter"/>
      <w:lvlText w:val="%2."/>
      <w:lvlJc w:val="left"/>
      <w:pPr>
        <w:ind w:left="1840" w:hanging="360"/>
      </w:pPr>
    </w:lvl>
    <w:lvl w:ilvl="2" w:tplc="0809001B" w:tentative="1">
      <w:start w:val="1"/>
      <w:numFmt w:val="lowerRoman"/>
      <w:lvlText w:val="%3."/>
      <w:lvlJc w:val="right"/>
      <w:pPr>
        <w:ind w:left="2560" w:hanging="180"/>
      </w:pPr>
    </w:lvl>
    <w:lvl w:ilvl="3" w:tplc="0809000F" w:tentative="1">
      <w:start w:val="1"/>
      <w:numFmt w:val="decimal"/>
      <w:lvlText w:val="%4."/>
      <w:lvlJc w:val="left"/>
      <w:pPr>
        <w:ind w:left="3280" w:hanging="360"/>
      </w:pPr>
    </w:lvl>
    <w:lvl w:ilvl="4" w:tplc="08090019" w:tentative="1">
      <w:start w:val="1"/>
      <w:numFmt w:val="lowerLetter"/>
      <w:lvlText w:val="%5."/>
      <w:lvlJc w:val="left"/>
      <w:pPr>
        <w:ind w:left="4000" w:hanging="360"/>
      </w:pPr>
    </w:lvl>
    <w:lvl w:ilvl="5" w:tplc="0809001B" w:tentative="1">
      <w:start w:val="1"/>
      <w:numFmt w:val="lowerRoman"/>
      <w:lvlText w:val="%6."/>
      <w:lvlJc w:val="right"/>
      <w:pPr>
        <w:ind w:left="4720" w:hanging="180"/>
      </w:pPr>
    </w:lvl>
    <w:lvl w:ilvl="6" w:tplc="0809000F" w:tentative="1">
      <w:start w:val="1"/>
      <w:numFmt w:val="decimal"/>
      <w:lvlText w:val="%7."/>
      <w:lvlJc w:val="left"/>
      <w:pPr>
        <w:ind w:left="5440" w:hanging="360"/>
      </w:pPr>
    </w:lvl>
    <w:lvl w:ilvl="7" w:tplc="08090019" w:tentative="1">
      <w:start w:val="1"/>
      <w:numFmt w:val="lowerLetter"/>
      <w:lvlText w:val="%8."/>
      <w:lvlJc w:val="left"/>
      <w:pPr>
        <w:ind w:left="6160" w:hanging="360"/>
      </w:pPr>
    </w:lvl>
    <w:lvl w:ilvl="8" w:tplc="0809001B" w:tentative="1">
      <w:start w:val="1"/>
      <w:numFmt w:val="lowerRoman"/>
      <w:lvlText w:val="%9."/>
      <w:lvlJc w:val="right"/>
      <w:pPr>
        <w:ind w:left="6880" w:hanging="180"/>
      </w:pPr>
    </w:lvl>
  </w:abstractNum>
  <w:num w:numId="1" w16cid:durableId="892739984">
    <w:abstractNumId w:val="0"/>
  </w:num>
  <w:num w:numId="2" w16cid:durableId="538322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277"/>
    <w:rsid w:val="002B4F22"/>
    <w:rsid w:val="003E74E8"/>
    <w:rsid w:val="004159B4"/>
    <w:rsid w:val="00685445"/>
    <w:rsid w:val="00C9458B"/>
    <w:rsid w:val="00E37277"/>
    <w:rsid w:val="00E44141"/>
    <w:rsid w:val="00F92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366251"/>
  <w15:chartTrackingRefBased/>
  <w15:docId w15:val="{81ACDC2F-31E2-AE44-BB19-8F446B22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277"/>
    <w:rPr>
      <w:rFonts w:eastAsiaTheme="majorEastAsia" w:cstheme="majorBidi"/>
      <w:color w:val="272727" w:themeColor="text1" w:themeTint="D8"/>
    </w:rPr>
  </w:style>
  <w:style w:type="paragraph" w:styleId="Title">
    <w:name w:val="Title"/>
    <w:basedOn w:val="Normal"/>
    <w:next w:val="Normal"/>
    <w:link w:val="TitleChar"/>
    <w:uiPriority w:val="10"/>
    <w:qFormat/>
    <w:rsid w:val="00E37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277"/>
    <w:pPr>
      <w:spacing w:before="160"/>
      <w:jc w:val="center"/>
    </w:pPr>
    <w:rPr>
      <w:i/>
      <w:iCs/>
      <w:color w:val="404040" w:themeColor="text1" w:themeTint="BF"/>
    </w:rPr>
  </w:style>
  <w:style w:type="character" w:customStyle="1" w:styleId="QuoteChar">
    <w:name w:val="Quote Char"/>
    <w:basedOn w:val="DefaultParagraphFont"/>
    <w:link w:val="Quote"/>
    <w:uiPriority w:val="29"/>
    <w:rsid w:val="00E37277"/>
    <w:rPr>
      <w:i/>
      <w:iCs/>
      <w:color w:val="404040" w:themeColor="text1" w:themeTint="BF"/>
    </w:rPr>
  </w:style>
  <w:style w:type="paragraph" w:styleId="ListParagraph">
    <w:name w:val="List Paragraph"/>
    <w:basedOn w:val="Normal"/>
    <w:uiPriority w:val="34"/>
    <w:qFormat/>
    <w:rsid w:val="00E37277"/>
    <w:pPr>
      <w:ind w:left="720"/>
      <w:contextualSpacing/>
    </w:pPr>
  </w:style>
  <w:style w:type="character" w:styleId="IntenseEmphasis">
    <w:name w:val="Intense Emphasis"/>
    <w:basedOn w:val="DefaultParagraphFont"/>
    <w:uiPriority w:val="21"/>
    <w:qFormat/>
    <w:rsid w:val="00E37277"/>
    <w:rPr>
      <w:i/>
      <w:iCs/>
      <w:color w:val="0F4761" w:themeColor="accent1" w:themeShade="BF"/>
    </w:rPr>
  </w:style>
  <w:style w:type="paragraph" w:styleId="IntenseQuote">
    <w:name w:val="Intense Quote"/>
    <w:basedOn w:val="Normal"/>
    <w:next w:val="Normal"/>
    <w:link w:val="IntenseQuoteChar"/>
    <w:uiPriority w:val="30"/>
    <w:qFormat/>
    <w:rsid w:val="00E37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277"/>
    <w:rPr>
      <w:i/>
      <w:iCs/>
      <w:color w:val="0F4761" w:themeColor="accent1" w:themeShade="BF"/>
    </w:rPr>
  </w:style>
  <w:style w:type="character" w:styleId="IntenseReference">
    <w:name w:val="Intense Reference"/>
    <w:basedOn w:val="DefaultParagraphFont"/>
    <w:uiPriority w:val="32"/>
    <w:qFormat/>
    <w:rsid w:val="00E37277"/>
    <w:rPr>
      <w:b/>
      <w:bCs/>
      <w:smallCaps/>
      <w:color w:val="0F4761" w:themeColor="accent1" w:themeShade="BF"/>
      <w:spacing w:val="5"/>
    </w:rPr>
  </w:style>
  <w:style w:type="paragraph" w:styleId="NormalWeb">
    <w:name w:val="Normal (Web)"/>
    <w:basedOn w:val="Normal"/>
    <w:uiPriority w:val="99"/>
    <w:semiHidden/>
    <w:unhideWhenUsed/>
    <w:rsid w:val="002B4F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Isaacs</dc:creator>
  <cp:keywords/>
  <dc:description/>
  <cp:lastModifiedBy>Aaron Isaacs</cp:lastModifiedBy>
  <cp:revision>1</cp:revision>
  <dcterms:created xsi:type="dcterms:W3CDTF">2026-02-16T12:34:00Z</dcterms:created>
  <dcterms:modified xsi:type="dcterms:W3CDTF">2026-02-16T16:44:00Z</dcterms:modified>
</cp:coreProperties>
</file>