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  <w:r>
        <w:rPr>
          <w:rFonts w:ascii="Calibri" w:hAnsi="Calibri" w:eastAsia="微软雅黑"/>
          <w:sz w:val="21"/>
        </w:rPr>
        <w:t>补充澄清（2026-08-31 勘误）：conflict（409）仅用于状态冲突（如无暂停播放时的 resume）；新播放对既有 active playback 为自动切换——停旧建新（stop reason=switch_media，§9.1 单 active 语义），不返回 409。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视频/音频字节；Range 语义同 v0.2.2；Content-Length 优先用库内 size_bytes（零网络），缺失才回退实时 stat。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  <w:r>
              <w:rPr>
                <w:rFonts w:ascii="Consolas" w:hAnsi="Consolas" w:eastAsia="Consolas"/>
                <w:sz w:val="18"/>
              </w:rPr>
              <w:t xml:space="preserve"> opening_text 由 LLM 个性化生成（模板兜底）；可选 opening_audio_path（家长声音克隆预合成音频，§6.5/TTS-005）：携带时 TV 优先 hub_tts 播放、拉取失败回退本地系统 TTS 朗读 opening_text。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r>
        <w:rPr>
          <w:rFonts w:ascii="Calibri" w:hAnsi="Calibri" w:eastAsia="Calibri"/>
          <w:sz w:val="21"/>
        </w:rPr>
        <w:t>开场白生成与语音（2026-08-31 实施，GRW-002/TTS-005~006 对齐）：transition.offer 的 opening_text 由 LLM 基于 Transition Context（标题/主题/角色/剧情线索——剧情线索取实体简介截断）生成，经清洗（去引号/围栏、≤60 字符句读截断）后下发；LLM 失败/超时（上限 6s）或清洗后为空时回退模板开场。生成与可选克隆合成提交编排循环执行（合成上限 6s），不阻塞 Boundary tick。payload 新增可选字段 opening_audio_path：家长声音克隆可用时携带（/api/v1/tts/{tts_id}/audio），TV 经 hub_tts 播放、失败回退系统 TTS 读同句文本；未携带时 TV 本地系统 TTS 朗读。TV 端选择/拒绝/完成活动即停止开场白朗读。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按实际注册定版，14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