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Policy Documentation</w:t>
      </w:r>
    </w:p>
    <w:p>
      <w:pPr>
        <w:pStyle w:val="Heading1"/>
      </w:pPr>
      <w:r>
        <w:t>Policy Information</w:t>
      </w:r>
    </w:p>
    <w:p>
      <w:r>
        <w:t>Policy Number: POL-2024-001</w:t>
      </w:r>
    </w:p>
    <w:p>
      <w:r>
        <w:t>Policy Type: Variable Life Insurance</w:t>
      </w:r>
    </w:p>
    <w:p>
      <w:r>
        <w:t>Insured: John Smith</w:t>
      </w:r>
    </w:p>
    <w:p>
      <w:r>
        <w:t>Date of Birth: 1980-05-15</w:t>
      </w:r>
    </w:p>
    <w:p>
      <w:pPr>
        <w:pStyle w:val="Heading1"/>
      </w:pPr>
      <w:r>
        <w:t>Coverage Details</w:t>
      </w:r>
    </w:p>
    <w:p>
      <w:r>
        <w:t>Face Amount: $500,000</w:t>
      </w:r>
    </w:p>
    <w:p>
      <w:r>
        <w:t>Premium: $2,500.00 annually</w:t>
      </w:r>
    </w:p>
    <w:p>
      <w:r>
        <w:t>Cash Value: $45,000.00</w:t>
      </w:r>
    </w:p>
    <w:p>
      <w:pPr>
        <w:pStyle w:val="Heading1"/>
      </w:pPr>
      <w:r>
        <w:t>Beneficiary Information</w:t>
      </w:r>
    </w:p>
    <w:p>
      <w:r>
        <w:t>Primary Beneficiary: Jane Smith</w:t>
      </w:r>
    </w:p>
    <w:p>
      <w:r>
        <w:t>Relationship: Spouse</w:t>
      </w:r>
    </w:p>
    <w:p>
      <w:pPr>
        <w:pStyle w:val="Heading1"/>
      </w:pPr>
      <w:r>
        <w:t>Terms and Conditions</w:t>
      </w:r>
    </w:p>
    <w:p>
      <w:r>
        <w:t>1. Policy remains in force as long as premiums are paid.</w:t>
      </w:r>
    </w:p>
    <w:p>
      <w:r>
        <w:t>2. Beneficiary may be changed with proper documentation.</w:t>
      </w:r>
    </w:p>
    <w:p>
      <w:r>
        <w:t>3. Cash value may be borrowed against policy.</w:t>
      </w:r>
    </w:p>
    <w:p>
      <w:r>
        <w:t>4. Policy may be surrendered for cash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