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82B8" w14:textId="77777777" w:rsidR="00CC09F8" w:rsidRDefault="00000000">
      <w:pPr>
        <w:spacing w:after="40"/>
        <w:jc w:val="center"/>
      </w:pPr>
      <w:r>
        <w:rPr>
          <w:rFonts w:ascii="Calibri" w:eastAsia="Calibri" w:hAnsi="Calibri" w:cs="Calibri"/>
          <w:b/>
          <w:bCs/>
          <w:color w:val="1F3864"/>
          <w:sz w:val="26"/>
          <w:szCs w:val="26"/>
        </w:rPr>
        <w:t>MARILYN DIPS &amp; CHIPS</w:t>
      </w:r>
    </w:p>
    <w:p w14:paraId="1DC4B645" w14:textId="77777777" w:rsidR="00CC09F8" w:rsidRDefault="00000000">
      <w:pPr>
        <w:pBdr>
          <w:bottom w:val="single" w:sz="12" w:space="4" w:color="1F3864"/>
        </w:pBdr>
        <w:spacing w:after="200"/>
        <w:jc w:val="center"/>
      </w:pPr>
      <w:r>
        <w:rPr>
          <w:rFonts w:ascii="Calibri" w:eastAsia="Calibri" w:hAnsi="Calibri" w:cs="Calibri"/>
          <w:color w:val="595959"/>
          <w:sz w:val="18"/>
          <w:szCs w:val="18"/>
        </w:rPr>
        <w:t>INTERNAL MEMORANDUM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100"/>
      </w:tblGrid>
      <w:tr w:rsidR="00CC09F8" w14:paraId="517B5F3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20" w:type="dxa"/>
              <w:bottom w:w="20" w:type="dxa"/>
            </w:tcMar>
          </w:tcPr>
          <w:p w14:paraId="1E913E59" w14:textId="77777777" w:rsidR="00CC09F8" w:rsidRDefault="00000000">
            <w:r>
              <w:rPr>
                <w:rFonts w:ascii="Calibri" w:eastAsia="Calibri" w:hAnsi="Calibri" w:cs="Calibri"/>
                <w:b/>
                <w:bCs/>
              </w:rPr>
              <w:t>TO:</w:t>
            </w:r>
          </w:p>
        </w:tc>
        <w:tc>
          <w:tcPr>
            <w:tcW w:w="8100" w:type="dxa"/>
            <w:tcBorders>
              <w:top w:val="none" w:sz="0" w:space="0" w:color="FFFFFF"/>
              <w:left w:val="none" w:sz="0" w:space="0" w:color="FFFFFF"/>
              <w:bottom w:val="none" w:sz="0" w:space="0" w:color="FFFFFF"/>
              <w:right w:val="none" w:sz="0" w:space="0" w:color="FFFFFF"/>
            </w:tcBorders>
            <w:tcMar>
              <w:top w:w="20" w:type="dxa"/>
              <w:bottom w:w="20" w:type="dxa"/>
            </w:tcMar>
          </w:tcPr>
          <w:p w14:paraId="4511A889" w14:textId="77777777" w:rsidR="00CC09F8" w:rsidRDefault="00000000">
            <w:r>
              <w:rPr>
                <w:rFonts w:ascii="Calibri" w:eastAsia="Calibri" w:hAnsi="Calibri" w:cs="Calibri"/>
              </w:rPr>
              <w:t>Executive Leadership Team</w:t>
            </w:r>
          </w:p>
        </w:tc>
      </w:tr>
      <w:tr w:rsidR="00CC09F8" w14:paraId="693C9F7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20" w:type="dxa"/>
              <w:bottom w:w="20" w:type="dxa"/>
            </w:tcMar>
          </w:tcPr>
          <w:p w14:paraId="04FFC953" w14:textId="77777777" w:rsidR="00CC09F8" w:rsidRDefault="00000000">
            <w:r>
              <w:rPr>
                <w:rFonts w:ascii="Calibri" w:eastAsia="Calibri" w:hAnsi="Calibri" w:cs="Calibri"/>
                <w:b/>
                <w:bCs/>
              </w:rPr>
              <w:t>FROM:</w:t>
            </w:r>
          </w:p>
        </w:tc>
        <w:tc>
          <w:tcPr>
            <w:tcW w:w="8100" w:type="dxa"/>
            <w:tcBorders>
              <w:top w:val="none" w:sz="0" w:space="0" w:color="FFFFFF"/>
              <w:left w:val="none" w:sz="0" w:space="0" w:color="FFFFFF"/>
              <w:bottom w:val="none" w:sz="0" w:space="0" w:color="FFFFFF"/>
              <w:right w:val="none" w:sz="0" w:space="0" w:color="FFFFFF"/>
            </w:tcBorders>
            <w:tcMar>
              <w:top w:w="20" w:type="dxa"/>
              <w:bottom w:w="20" w:type="dxa"/>
            </w:tcMar>
          </w:tcPr>
          <w:p w14:paraId="63DB258E" w14:textId="77777777" w:rsidR="00CC09F8" w:rsidRDefault="00000000">
            <w:r>
              <w:rPr>
                <w:rFonts w:ascii="Calibri" w:eastAsia="Calibri" w:hAnsi="Calibri" w:cs="Calibri"/>
              </w:rPr>
              <w:t>[Your Name], Category Growth &amp; Strategy</w:t>
            </w:r>
          </w:p>
        </w:tc>
      </w:tr>
      <w:tr w:rsidR="00CC09F8" w14:paraId="4076C30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20" w:type="dxa"/>
              <w:bottom w:w="20" w:type="dxa"/>
            </w:tcMar>
          </w:tcPr>
          <w:p w14:paraId="55BE5AC4" w14:textId="77777777" w:rsidR="00CC09F8" w:rsidRDefault="00000000">
            <w:r>
              <w:rPr>
                <w:rFonts w:ascii="Calibri" w:eastAsia="Calibri" w:hAnsi="Calibri" w:cs="Calibri"/>
                <w:b/>
                <w:bCs/>
              </w:rPr>
              <w:t>DATE:</w:t>
            </w:r>
          </w:p>
        </w:tc>
        <w:tc>
          <w:tcPr>
            <w:tcW w:w="8100" w:type="dxa"/>
            <w:tcBorders>
              <w:top w:val="none" w:sz="0" w:space="0" w:color="FFFFFF"/>
              <w:left w:val="none" w:sz="0" w:space="0" w:color="FFFFFF"/>
              <w:bottom w:val="none" w:sz="0" w:space="0" w:color="FFFFFF"/>
              <w:right w:val="none" w:sz="0" w:space="0" w:color="FFFFFF"/>
            </w:tcBorders>
            <w:tcMar>
              <w:top w:w="20" w:type="dxa"/>
              <w:bottom w:w="20" w:type="dxa"/>
            </w:tcMar>
          </w:tcPr>
          <w:p w14:paraId="02ACF66F" w14:textId="77777777" w:rsidR="00CC09F8" w:rsidRDefault="00000000">
            <w:r>
              <w:rPr>
                <w:rFonts w:ascii="Calibri" w:eastAsia="Calibri" w:hAnsi="Calibri" w:cs="Calibri"/>
              </w:rPr>
              <w:t>September 26, 2026</w:t>
            </w:r>
          </w:p>
        </w:tc>
      </w:tr>
      <w:tr w:rsidR="00CC09F8" w14:paraId="43E3F81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20" w:type="dxa"/>
              <w:bottom w:w="20" w:type="dxa"/>
            </w:tcMar>
          </w:tcPr>
          <w:p w14:paraId="272416E5" w14:textId="77777777" w:rsidR="00CC09F8" w:rsidRDefault="00000000">
            <w:r>
              <w:rPr>
                <w:rFonts w:ascii="Calibri" w:eastAsia="Calibri" w:hAnsi="Calibri" w:cs="Calibri"/>
                <w:b/>
                <w:bCs/>
              </w:rPr>
              <w:t>RE:</w:t>
            </w:r>
          </w:p>
        </w:tc>
        <w:tc>
          <w:tcPr>
            <w:tcW w:w="8100" w:type="dxa"/>
            <w:tcBorders>
              <w:top w:val="none" w:sz="0" w:space="0" w:color="FFFFFF"/>
              <w:left w:val="none" w:sz="0" w:space="0" w:color="FFFFFF"/>
              <w:bottom w:val="none" w:sz="0" w:space="0" w:color="FFFFFF"/>
              <w:right w:val="none" w:sz="0" w:space="0" w:color="FFFFFF"/>
            </w:tcBorders>
            <w:tcMar>
              <w:top w:w="20" w:type="dxa"/>
              <w:bottom w:w="20" w:type="dxa"/>
            </w:tcMar>
          </w:tcPr>
          <w:p w14:paraId="2E8F20A4" w14:textId="77777777" w:rsidR="00CC09F8" w:rsidRDefault="00000000">
            <w:r>
              <w:rPr>
                <w:rFonts w:ascii="Calibri" w:eastAsia="Calibri" w:hAnsi="Calibri" w:cs="Calibri"/>
              </w:rPr>
              <w:t>Market Entry Assessment — U.S. Avocado Category</w:t>
            </w:r>
          </w:p>
        </w:tc>
      </w:tr>
    </w:tbl>
    <w:p w14:paraId="1BB05867" w14:textId="77777777" w:rsidR="00CC09F8" w:rsidRDefault="00CC09F8">
      <w:pPr>
        <w:spacing w:after="160"/>
      </w:pPr>
    </w:p>
    <w:p w14:paraId="573C320C" w14:textId="77777777" w:rsidR="00CC09F8" w:rsidRDefault="00000000">
      <w:pPr>
        <w:pBdr>
          <w:bottom w:val="single" w:sz="6" w:space="2" w:color="1F3864"/>
        </w:pBdr>
        <w:spacing w:before="200" w:after="80"/>
      </w:pPr>
      <w:r>
        <w:rPr>
          <w:rFonts w:ascii="Calibri" w:eastAsia="Calibri" w:hAnsi="Calibri" w:cs="Calibri"/>
          <w:b/>
          <w:bCs/>
          <w:color w:val="1F3864"/>
          <w:sz w:val="21"/>
          <w:szCs w:val="21"/>
        </w:rPr>
        <w:t>BOTTOM LINE UP FRONT</w:t>
      </w:r>
    </w:p>
    <w:p w14:paraId="3B58CCE7" w14:textId="77777777" w:rsidR="00CC09F8" w:rsidRDefault="00000000">
      <w:pPr>
        <w:spacing w:after="120" w:line="264" w:lineRule="auto"/>
      </w:pPr>
      <w:r w:rsidRPr="00D965F6">
        <w:rPr>
          <w:rFonts w:ascii="Calibri" w:eastAsia="Calibri" w:hAnsi="Calibri" w:cs="Calibri"/>
          <w:highlight w:val="green"/>
        </w:rPr>
        <w:t>National avocado demand is accelerating while retail pricing is compressing</w:t>
      </w:r>
      <w:r>
        <w:rPr>
          <w:rFonts w:ascii="Calibri" w:eastAsia="Calibri" w:hAnsi="Calibri" w:cs="Calibri"/>
        </w:rPr>
        <w:t xml:space="preserve"> — a structural signal of expanding category volume, not softening demand. </w:t>
      </w:r>
      <w:commentRangeStart w:id="0"/>
      <w:r w:rsidRPr="00D965F6">
        <w:rPr>
          <w:rFonts w:ascii="Calibri" w:eastAsia="Calibri" w:hAnsi="Calibri" w:cs="Calibri"/>
          <w:highlight w:val="green"/>
        </w:rPr>
        <w:t>This dynamic is most pronounced in California, Arizona, and Nevada</w:t>
      </w:r>
      <w:commentRangeEnd w:id="0"/>
      <w:r w:rsidR="00736A8C">
        <w:rPr>
          <w:rStyle w:val="CommentReference"/>
          <w:rFonts w:ascii="Calibri" w:eastAsia="Calibri" w:hAnsi="Calibri" w:cs="Calibri"/>
          <w:sz w:val="20"/>
          <w:szCs w:val="20"/>
        </w:rPr>
        <w:commentReference w:id="0"/>
      </w:r>
      <w:r>
        <w:rPr>
          <w:rFonts w:ascii="Calibri" w:eastAsia="Calibri" w:hAnsi="Calibri" w:cs="Calibri"/>
        </w:rPr>
        <w:t xml:space="preserve">, the three states anchoring our existing warehouse and distribution network. The data supports a favorable entry window, with </w:t>
      </w:r>
      <w:r w:rsidRPr="00D965F6">
        <w:rPr>
          <w:rFonts w:ascii="Calibri" w:eastAsia="Calibri" w:hAnsi="Calibri" w:cs="Calibri"/>
          <w:highlight w:val="green"/>
        </w:rPr>
        <w:t>our footprint already positioned inside the highest-velocity regional markets in the category</w:t>
      </w:r>
      <w:r>
        <w:rPr>
          <w:rFonts w:ascii="Calibri" w:eastAsia="Calibri" w:hAnsi="Calibri" w:cs="Calibri"/>
        </w:rPr>
        <w:t>.</w:t>
      </w:r>
    </w:p>
    <w:p w14:paraId="58B98BE3" w14:textId="77777777" w:rsidR="00CC09F8" w:rsidRDefault="00000000">
      <w:pPr>
        <w:pBdr>
          <w:bottom w:val="single" w:sz="6" w:space="2" w:color="1F3864"/>
        </w:pBdr>
        <w:spacing w:before="200" w:after="80"/>
      </w:pPr>
      <w:r>
        <w:rPr>
          <w:rFonts w:ascii="Calibri" w:eastAsia="Calibri" w:hAnsi="Calibri" w:cs="Calibri"/>
          <w:b/>
          <w:bCs/>
          <w:color w:val="1F3864"/>
          <w:sz w:val="21"/>
          <w:szCs w:val="21"/>
        </w:rPr>
        <w:t>NATIONAL MOMENTUM: VOLUME UP, PRICE DOWN</w:t>
      </w:r>
    </w:p>
    <w:p w14:paraId="613878BA" w14:textId="77777777" w:rsidR="00CC09F8" w:rsidRDefault="00000000">
      <w:pPr>
        <w:spacing w:after="120" w:line="264" w:lineRule="auto"/>
      </w:pPr>
      <w:commentRangeStart w:id="1"/>
      <w:r w:rsidRPr="00D965F6">
        <w:rPr>
          <w:rFonts w:ascii="Calibri" w:eastAsia="Calibri" w:hAnsi="Calibri" w:cs="Calibri"/>
          <w:highlight w:val="green"/>
        </w:rPr>
        <w:t>Per Hass Avocado Board (HAB) weekly retail scan data, comparing the first 32 weeks of 2025 to the same period in 2026, conventional avocado volume sold nationally rose 14.5% (1.76B to 2.02B units), while average selling price (ASP) declined 19.0% ($1.216 to $0.984). Rising volume alongside falling price indicates supply-driven category expansion — retailers are moving substantially more product at a lower price point, widening the consumer base and shelf velocity rather than signaling weakening category health.</w:t>
      </w:r>
      <w:commentRangeEnd w:id="1"/>
      <w:r w:rsidR="00413C95">
        <w:rPr>
          <w:rStyle w:val="CommentReference"/>
          <w:sz w:val="20"/>
          <w:szCs w:val="20"/>
        </w:rPr>
        <w:commentReference w:id="1"/>
      </w:r>
    </w:p>
    <w:p w14:paraId="4E7C5BAD" w14:textId="77777777" w:rsidR="00CC09F8" w:rsidRDefault="00000000">
      <w:pPr>
        <w:pBdr>
          <w:bottom w:val="single" w:sz="6" w:space="2" w:color="1F3864"/>
        </w:pBdr>
        <w:spacing w:before="200" w:after="80"/>
      </w:pPr>
      <w:r>
        <w:rPr>
          <w:rFonts w:ascii="Calibri" w:eastAsia="Calibri" w:hAnsi="Calibri" w:cs="Calibri"/>
          <w:b/>
          <w:bCs/>
          <w:color w:val="1F3864"/>
          <w:sz w:val="21"/>
          <w:szCs w:val="21"/>
        </w:rPr>
        <w:t>FOOTPRINT ALIGNMENT: OUR DISTRIBUTION NETWORK SITS IN THE CATEGORY'S CORE</w:t>
      </w:r>
    </w:p>
    <w:p w14:paraId="13D5C91A" w14:textId="77777777" w:rsidR="00CC09F8" w:rsidRDefault="00000000">
      <w:pPr>
        <w:spacing w:after="120" w:line="264" w:lineRule="auto"/>
      </w:pPr>
      <w:r>
        <w:rPr>
          <w:rFonts w:ascii="Calibri" w:eastAsia="Calibri" w:hAnsi="Calibri" w:cs="Calibri"/>
        </w:rPr>
        <w:t>The states housing our five distribution facilities are outperforming the national growth rate on volume:</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50"/>
        <w:gridCol w:w="1350"/>
        <w:gridCol w:w="1300"/>
        <w:gridCol w:w="1300"/>
        <w:gridCol w:w="1350"/>
      </w:tblGrid>
      <w:tr w:rsidR="00CC09F8" w14:paraId="2B68F3A7" w14:textId="77777777">
        <w:tblPrEx>
          <w:tblCellMar>
            <w:top w:w="0" w:type="dxa"/>
            <w:bottom w:w="0" w:type="dxa"/>
          </w:tblCellMar>
        </w:tblPrEx>
        <w:trPr>
          <w:tblHeader/>
        </w:trPr>
        <w:tc>
          <w:tcPr>
            <w:tcW w:w="1900" w:type="dxa"/>
            <w:shd w:val="clear" w:color="auto" w:fill="1F3864"/>
            <w:tcMar>
              <w:top w:w="60" w:type="dxa"/>
              <w:left w:w="80" w:type="dxa"/>
              <w:bottom w:w="60" w:type="dxa"/>
              <w:right w:w="80" w:type="dxa"/>
            </w:tcMar>
            <w:vAlign w:val="center"/>
          </w:tcPr>
          <w:p w14:paraId="0B90A857" w14:textId="77777777" w:rsidR="00CC09F8" w:rsidRDefault="00000000">
            <w:r>
              <w:rPr>
                <w:rFonts w:ascii="Calibri" w:eastAsia="Calibri" w:hAnsi="Calibri" w:cs="Calibri"/>
                <w:b/>
                <w:bCs/>
                <w:color w:val="FFFFFF"/>
                <w:sz w:val="18"/>
                <w:szCs w:val="18"/>
              </w:rPr>
              <w:t>Market (Conv.)</w:t>
            </w:r>
          </w:p>
        </w:tc>
        <w:tc>
          <w:tcPr>
            <w:tcW w:w="1350" w:type="dxa"/>
            <w:shd w:val="clear" w:color="auto" w:fill="1F3864"/>
            <w:tcMar>
              <w:top w:w="60" w:type="dxa"/>
              <w:left w:w="80" w:type="dxa"/>
              <w:bottom w:w="60" w:type="dxa"/>
              <w:right w:w="80" w:type="dxa"/>
            </w:tcMar>
            <w:vAlign w:val="center"/>
          </w:tcPr>
          <w:p w14:paraId="4796C66E" w14:textId="77777777" w:rsidR="00CC09F8" w:rsidRDefault="00000000">
            <w:pPr>
              <w:jc w:val="center"/>
            </w:pPr>
            <w:r>
              <w:rPr>
                <w:rFonts w:ascii="Calibri" w:eastAsia="Calibri" w:hAnsi="Calibri" w:cs="Calibri"/>
                <w:b/>
                <w:bCs/>
                <w:color w:val="FFFFFF"/>
                <w:sz w:val="18"/>
                <w:szCs w:val="18"/>
              </w:rPr>
              <w:t>YTD Vol. '25</w:t>
            </w:r>
          </w:p>
        </w:tc>
        <w:tc>
          <w:tcPr>
            <w:tcW w:w="1350" w:type="dxa"/>
            <w:shd w:val="clear" w:color="auto" w:fill="1F3864"/>
            <w:tcMar>
              <w:top w:w="60" w:type="dxa"/>
              <w:left w:w="80" w:type="dxa"/>
              <w:bottom w:w="60" w:type="dxa"/>
              <w:right w:w="80" w:type="dxa"/>
            </w:tcMar>
            <w:vAlign w:val="center"/>
          </w:tcPr>
          <w:p w14:paraId="7E4745F8" w14:textId="77777777" w:rsidR="00CC09F8" w:rsidRDefault="00000000">
            <w:pPr>
              <w:jc w:val="center"/>
            </w:pPr>
            <w:r>
              <w:rPr>
                <w:rFonts w:ascii="Calibri" w:eastAsia="Calibri" w:hAnsi="Calibri" w:cs="Calibri"/>
                <w:b/>
                <w:bCs/>
                <w:color w:val="FFFFFF"/>
                <w:sz w:val="18"/>
                <w:szCs w:val="18"/>
              </w:rPr>
              <w:t>YTD Vol. '26</w:t>
            </w:r>
          </w:p>
        </w:tc>
        <w:tc>
          <w:tcPr>
            <w:tcW w:w="1300" w:type="dxa"/>
            <w:shd w:val="clear" w:color="auto" w:fill="1F3864"/>
            <w:tcMar>
              <w:top w:w="60" w:type="dxa"/>
              <w:left w:w="80" w:type="dxa"/>
              <w:bottom w:w="60" w:type="dxa"/>
              <w:right w:w="80" w:type="dxa"/>
            </w:tcMar>
            <w:vAlign w:val="center"/>
          </w:tcPr>
          <w:p w14:paraId="0F543D66" w14:textId="77777777" w:rsidR="00CC09F8" w:rsidRDefault="00000000">
            <w:pPr>
              <w:jc w:val="center"/>
            </w:pPr>
            <w:r>
              <w:rPr>
                <w:rFonts w:ascii="Calibri" w:eastAsia="Calibri" w:hAnsi="Calibri" w:cs="Calibri"/>
                <w:b/>
                <w:bCs/>
                <w:color w:val="FFFFFF"/>
                <w:sz w:val="18"/>
                <w:szCs w:val="18"/>
              </w:rPr>
              <w:t>Vol. Δ</w:t>
            </w:r>
          </w:p>
        </w:tc>
        <w:tc>
          <w:tcPr>
            <w:tcW w:w="1300" w:type="dxa"/>
            <w:shd w:val="clear" w:color="auto" w:fill="1F3864"/>
            <w:tcMar>
              <w:top w:w="60" w:type="dxa"/>
              <w:left w:w="80" w:type="dxa"/>
              <w:bottom w:w="60" w:type="dxa"/>
              <w:right w:w="80" w:type="dxa"/>
            </w:tcMar>
            <w:vAlign w:val="center"/>
          </w:tcPr>
          <w:p w14:paraId="2DC420BD" w14:textId="77777777" w:rsidR="00CC09F8" w:rsidRDefault="00000000">
            <w:pPr>
              <w:jc w:val="center"/>
            </w:pPr>
            <w:r>
              <w:rPr>
                <w:rFonts w:ascii="Calibri" w:eastAsia="Calibri" w:hAnsi="Calibri" w:cs="Calibri"/>
                <w:b/>
                <w:bCs/>
                <w:color w:val="FFFFFF"/>
                <w:sz w:val="18"/>
                <w:szCs w:val="18"/>
              </w:rPr>
              <w:t>ASP '26</w:t>
            </w:r>
          </w:p>
        </w:tc>
        <w:tc>
          <w:tcPr>
            <w:tcW w:w="1350" w:type="dxa"/>
            <w:shd w:val="clear" w:color="auto" w:fill="1F3864"/>
            <w:tcMar>
              <w:top w:w="60" w:type="dxa"/>
              <w:left w:w="80" w:type="dxa"/>
              <w:bottom w:w="60" w:type="dxa"/>
              <w:right w:w="80" w:type="dxa"/>
            </w:tcMar>
            <w:vAlign w:val="center"/>
          </w:tcPr>
          <w:p w14:paraId="5828AC5B" w14:textId="77777777" w:rsidR="00CC09F8" w:rsidRDefault="00000000">
            <w:pPr>
              <w:jc w:val="center"/>
            </w:pPr>
            <w:r>
              <w:rPr>
                <w:rFonts w:ascii="Calibri" w:eastAsia="Calibri" w:hAnsi="Calibri" w:cs="Calibri"/>
                <w:b/>
                <w:bCs/>
                <w:color w:val="FFFFFF"/>
                <w:sz w:val="18"/>
                <w:szCs w:val="18"/>
              </w:rPr>
              <w:t>ASP Δ</w:t>
            </w:r>
          </w:p>
        </w:tc>
      </w:tr>
      <w:tr w:rsidR="00CC09F8" w14:paraId="1AFF713B" w14:textId="77777777">
        <w:tblPrEx>
          <w:tblCellMar>
            <w:top w:w="0" w:type="dxa"/>
            <w:bottom w:w="0" w:type="dxa"/>
          </w:tblCellMar>
        </w:tblPrEx>
        <w:tc>
          <w:tcPr>
            <w:tcW w:w="1900" w:type="dxa"/>
            <w:tcMar>
              <w:top w:w="60" w:type="dxa"/>
              <w:left w:w="80" w:type="dxa"/>
              <w:bottom w:w="60" w:type="dxa"/>
              <w:right w:w="80" w:type="dxa"/>
            </w:tcMar>
            <w:vAlign w:val="center"/>
          </w:tcPr>
          <w:p w14:paraId="74582A47" w14:textId="77777777" w:rsidR="00CC09F8" w:rsidRDefault="00000000">
            <w:r>
              <w:rPr>
                <w:rFonts w:ascii="Calibri" w:eastAsia="Calibri" w:hAnsi="Calibri" w:cs="Calibri"/>
                <w:color w:val="000000"/>
                <w:sz w:val="18"/>
                <w:szCs w:val="18"/>
              </w:rPr>
              <w:t>California</w:t>
            </w:r>
          </w:p>
        </w:tc>
        <w:tc>
          <w:tcPr>
            <w:tcW w:w="1350" w:type="dxa"/>
            <w:tcMar>
              <w:top w:w="60" w:type="dxa"/>
              <w:left w:w="80" w:type="dxa"/>
              <w:bottom w:w="60" w:type="dxa"/>
              <w:right w:w="80" w:type="dxa"/>
            </w:tcMar>
            <w:vAlign w:val="center"/>
          </w:tcPr>
          <w:p w14:paraId="755AD31C" w14:textId="77777777" w:rsidR="00CC09F8" w:rsidRDefault="00000000">
            <w:pPr>
              <w:jc w:val="center"/>
            </w:pPr>
            <w:r>
              <w:rPr>
                <w:rFonts w:ascii="Calibri" w:eastAsia="Calibri" w:hAnsi="Calibri" w:cs="Calibri"/>
                <w:color w:val="000000"/>
                <w:sz w:val="18"/>
                <w:szCs w:val="18"/>
              </w:rPr>
              <w:t>273.6M</w:t>
            </w:r>
          </w:p>
        </w:tc>
        <w:tc>
          <w:tcPr>
            <w:tcW w:w="1350" w:type="dxa"/>
            <w:tcMar>
              <w:top w:w="60" w:type="dxa"/>
              <w:left w:w="80" w:type="dxa"/>
              <w:bottom w:w="60" w:type="dxa"/>
              <w:right w:w="80" w:type="dxa"/>
            </w:tcMar>
            <w:vAlign w:val="center"/>
          </w:tcPr>
          <w:p w14:paraId="3861D9F9" w14:textId="77777777" w:rsidR="00CC09F8" w:rsidRDefault="00000000">
            <w:pPr>
              <w:jc w:val="center"/>
            </w:pPr>
            <w:r>
              <w:rPr>
                <w:rFonts w:ascii="Calibri" w:eastAsia="Calibri" w:hAnsi="Calibri" w:cs="Calibri"/>
                <w:color w:val="000000"/>
                <w:sz w:val="18"/>
                <w:szCs w:val="18"/>
              </w:rPr>
              <w:t>316.4M</w:t>
            </w:r>
          </w:p>
        </w:tc>
        <w:tc>
          <w:tcPr>
            <w:tcW w:w="1300" w:type="dxa"/>
            <w:tcMar>
              <w:top w:w="60" w:type="dxa"/>
              <w:left w:w="80" w:type="dxa"/>
              <w:bottom w:w="60" w:type="dxa"/>
              <w:right w:w="80" w:type="dxa"/>
            </w:tcMar>
            <w:vAlign w:val="center"/>
          </w:tcPr>
          <w:p w14:paraId="1CF40897" w14:textId="77777777" w:rsidR="00CC09F8" w:rsidRDefault="00000000">
            <w:pPr>
              <w:jc w:val="center"/>
            </w:pPr>
            <w:r>
              <w:rPr>
                <w:rFonts w:ascii="Calibri" w:eastAsia="Calibri" w:hAnsi="Calibri" w:cs="Calibri"/>
                <w:color w:val="000000"/>
                <w:sz w:val="18"/>
                <w:szCs w:val="18"/>
              </w:rPr>
              <w:t>+15.6%</w:t>
            </w:r>
          </w:p>
        </w:tc>
        <w:tc>
          <w:tcPr>
            <w:tcW w:w="1300" w:type="dxa"/>
            <w:tcMar>
              <w:top w:w="60" w:type="dxa"/>
              <w:left w:w="80" w:type="dxa"/>
              <w:bottom w:w="60" w:type="dxa"/>
              <w:right w:w="80" w:type="dxa"/>
            </w:tcMar>
            <w:vAlign w:val="center"/>
          </w:tcPr>
          <w:p w14:paraId="58FA483E" w14:textId="77777777" w:rsidR="00CC09F8" w:rsidRDefault="00000000">
            <w:pPr>
              <w:jc w:val="center"/>
            </w:pPr>
            <w:r>
              <w:rPr>
                <w:rFonts w:ascii="Calibri" w:eastAsia="Calibri" w:hAnsi="Calibri" w:cs="Calibri"/>
                <w:color w:val="000000"/>
                <w:sz w:val="18"/>
                <w:szCs w:val="18"/>
              </w:rPr>
              <w:t>$1.145</w:t>
            </w:r>
          </w:p>
        </w:tc>
        <w:tc>
          <w:tcPr>
            <w:tcW w:w="1350" w:type="dxa"/>
            <w:tcMar>
              <w:top w:w="60" w:type="dxa"/>
              <w:left w:w="80" w:type="dxa"/>
              <w:bottom w:w="60" w:type="dxa"/>
              <w:right w:w="80" w:type="dxa"/>
            </w:tcMar>
            <w:vAlign w:val="center"/>
          </w:tcPr>
          <w:p w14:paraId="14B265FE" w14:textId="77777777" w:rsidR="00CC09F8" w:rsidRDefault="00000000">
            <w:pPr>
              <w:jc w:val="center"/>
            </w:pPr>
            <w:r>
              <w:rPr>
                <w:rFonts w:ascii="Calibri" w:eastAsia="Calibri" w:hAnsi="Calibri" w:cs="Calibri"/>
                <w:color w:val="000000"/>
                <w:sz w:val="18"/>
                <w:szCs w:val="18"/>
              </w:rPr>
              <w:t>–17.7%</w:t>
            </w:r>
          </w:p>
        </w:tc>
      </w:tr>
      <w:tr w:rsidR="00CC09F8" w14:paraId="3E0B41C5" w14:textId="77777777">
        <w:tblPrEx>
          <w:tblCellMar>
            <w:top w:w="0" w:type="dxa"/>
            <w:bottom w:w="0" w:type="dxa"/>
          </w:tblCellMar>
        </w:tblPrEx>
        <w:tc>
          <w:tcPr>
            <w:tcW w:w="1900" w:type="dxa"/>
            <w:tcMar>
              <w:top w:w="60" w:type="dxa"/>
              <w:left w:w="80" w:type="dxa"/>
              <w:bottom w:w="60" w:type="dxa"/>
              <w:right w:w="80" w:type="dxa"/>
            </w:tcMar>
            <w:vAlign w:val="center"/>
          </w:tcPr>
          <w:p w14:paraId="54A7A180" w14:textId="77777777" w:rsidR="00CC09F8" w:rsidRDefault="00000000">
            <w:r>
              <w:rPr>
                <w:rFonts w:ascii="Calibri" w:eastAsia="Calibri" w:hAnsi="Calibri" w:cs="Calibri"/>
                <w:color w:val="000000"/>
                <w:sz w:val="18"/>
                <w:szCs w:val="18"/>
              </w:rPr>
              <w:t>Phoenix/Tucson, AZ</w:t>
            </w:r>
          </w:p>
        </w:tc>
        <w:tc>
          <w:tcPr>
            <w:tcW w:w="1350" w:type="dxa"/>
            <w:tcMar>
              <w:top w:w="60" w:type="dxa"/>
              <w:left w:w="80" w:type="dxa"/>
              <w:bottom w:w="60" w:type="dxa"/>
              <w:right w:w="80" w:type="dxa"/>
            </w:tcMar>
            <w:vAlign w:val="center"/>
          </w:tcPr>
          <w:p w14:paraId="3DEB86C3" w14:textId="77777777" w:rsidR="00CC09F8" w:rsidRDefault="00000000">
            <w:pPr>
              <w:jc w:val="center"/>
            </w:pPr>
            <w:r>
              <w:rPr>
                <w:rFonts w:ascii="Calibri" w:eastAsia="Calibri" w:hAnsi="Calibri" w:cs="Calibri"/>
                <w:color w:val="000000"/>
                <w:sz w:val="18"/>
                <w:szCs w:val="18"/>
              </w:rPr>
              <w:t>50.0M</w:t>
            </w:r>
          </w:p>
        </w:tc>
        <w:tc>
          <w:tcPr>
            <w:tcW w:w="1350" w:type="dxa"/>
            <w:tcMar>
              <w:top w:w="60" w:type="dxa"/>
              <w:left w:w="80" w:type="dxa"/>
              <w:bottom w:w="60" w:type="dxa"/>
              <w:right w:w="80" w:type="dxa"/>
            </w:tcMar>
            <w:vAlign w:val="center"/>
          </w:tcPr>
          <w:p w14:paraId="0F9DC9D3" w14:textId="77777777" w:rsidR="00CC09F8" w:rsidRDefault="00000000">
            <w:pPr>
              <w:jc w:val="center"/>
            </w:pPr>
            <w:r>
              <w:rPr>
                <w:rFonts w:ascii="Calibri" w:eastAsia="Calibri" w:hAnsi="Calibri" w:cs="Calibri"/>
                <w:color w:val="000000"/>
                <w:sz w:val="18"/>
                <w:szCs w:val="18"/>
              </w:rPr>
              <w:t>55.5M</w:t>
            </w:r>
          </w:p>
        </w:tc>
        <w:tc>
          <w:tcPr>
            <w:tcW w:w="1300" w:type="dxa"/>
            <w:tcMar>
              <w:top w:w="60" w:type="dxa"/>
              <w:left w:w="80" w:type="dxa"/>
              <w:bottom w:w="60" w:type="dxa"/>
              <w:right w:w="80" w:type="dxa"/>
            </w:tcMar>
            <w:vAlign w:val="center"/>
          </w:tcPr>
          <w:p w14:paraId="3354551B" w14:textId="77777777" w:rsidR="00CC09F8" w:rsidRDefault="00000000">
            <w:pPr>
              <w:jc w:val="center"/>
            </w:pPr>
            <w:r>
              <w:rPr>
                <w:rFonts w:ascii="Calibri" w:eastAsia="Calibri" w:hAnsi="Calibri" w:cs="Calibri"/>
                <w:color w:val="000000"/>
                <w:sz w:val="18"/>
                <w:szCs w:val="18"/>
              </w:rPr>
              <w:t>+11.0%</w:t>
            </w:r>
          </w:p>
        </w:tc>
        <w:tc>
          <w:tcPr>
            <w:tcW w:w="1300" w:type="dxa"/>
            <w:tcMar>
              <w:top w:w="60" w:type="dxa"/>
              <w:left w:w="80" w:type="dxa"/>
              <w:bottom w:w="60" w:type="dxa"/>
              <w:right w:w="80" w:type="dxa"/>
            </w:tcMar>
            <w:vAlign w:val="center"/>
          </w:tcPr>
          <w:p w14:paraId="4551C227" w14:textId="77777777" w:rsidR="00CC09F8" w:rsidRDefault="00000000">
            <w:pPr>
              <w:jc w:val="center"/>
            </w:pPr>
            <w:r>
              <w:rPr>
                <w:rFonts w:ascii="Calibri" w:eastAsia="Calibri" w:hAnsi="Calibri" w:cs="Calibri"/>
                <w:color w:val="000000"/>
                <w:sz w:val="18"/>
                <w:szCs w:val="18"/>
              </w:rPr>
              <w:t>$1.001</w:t>
            </w:r>
          </w:p>
        </w:tc>
        <w:tc>
          <w:tcPr>
            <w:tcW w:w="1350" w:type="dxa"/>
            <w:tcMar>
              <w:top w:w="60" w:type="dxa"/>
              <w:left w:w="80" w:type="dxa"/>
              <w:bottom w:w="60" w:type="dxa"/>
              <w:right w:w="80" w:type="dxa"/>
            </w:tcMar>
            <w:vAlign w:val="center"/>
          </w:tcPr>
          <w:p w14:paraId="6C9227BC" w14:textId="77777777" w:rsidR="00CC09F8" w:rsidRDefault="00000000">
            <w:pPr>
              <w:jc w:val="center"/>
            </w:pPr>
            <w:r>
              <w:rPr>
                <w:rFonts w:ascii="Calibri" w:eastAsia="Calibri" w:hAnsi="Calibri" w:cs="Calibri"/>
                <w:color w:val="000000"/>
                <w:sz w:val="18"/>
                <w:szCs w:val="18"/>
              </w:rPr>
              <w:t>–14.0%</w:t>
            </w:r>
          </w:p>
        </w:tc>
      </w:tr>
      <w:tr w:rsidR="00CC09F8" w14:paraId="2431B75D" w14:textId="77777777">
        <w:tblPrEx>
          <w:tblCellMar>
            <w:top w:w="0" w:type="dxa"/>
            <w:bottom w:w="0" w:type="dxa"/>
          </w:tblCellMar>
        </w:tblPrEx>
        <w:tc>
          <w:tcPr>
            <w:tcW w:w="1900" w:type="dxa"/>
            <w:tcMar>
              <w:top w:w="60" w:type="dxa"/>
              <w:left w:w="80" w:type="dxa"/>
              <w:bottom w:w="60" w:type="dxa"/>
              <w:right w:w="80" w:type="dxa"/>
            </w:tcMar>
            <w:vAlign w:val="center"/>
          </w:tcPr>
          <w:p w14:paraId="50E700C0" w14:textId="77777777" w:rsidR="00CC09F8" w:rsidRDefault="00000000">
            <w:r>
              <w:rPr>
                <w:rFonts w:ascii="Calibri" w:eastAsia="Calibri" w:hAnsi="Calibri" w:cs="Calibri"/>
                <w:color w:val="000000"/>
                <w:sz w:val="18"/>
                <w:szCs w:val="18"/>
              </w:rPr>
              <w:t>Las Vegas, NV</w:t>
            </w:r>
          </w:p>
        </w:tc>
        <w:tc>
          <w:tcPr>
            <w:tcW w:w="1350" w:type="dxa"/>
            <w:tcMar>
              <w:top w:w="60" w:type="dxa"/>
              <w:left w:w="80" w:type="dxa"/>
              <w:bottom w:w="60" w:type="dxa"/>
              <w:right w:w="80" w:type="dxa"/>
            </w:tcMar>
            <w:vAlign w:val="center"/>
          </w:tcPr>
          <w:p w14:paraId="4914ABF4" w14:textId="77777777" w:rsidR="00CC09F8" w:rsidRDefault="00000000">
            <w:pPr>
              <w:jc w:val="center"/>
            </w:pPr>
            <w:r>
              <w:rPr>
                <w:rFonts w:ascii="Calibri" w:eastAsia="Calibri" w:hAnsi="Calibri" w:cs="Calibri"/>
                <w:color w:val="000000"/>
                <w:sz w:val="18"/>
                <w:szCs w:val="18"/>
              </w:rPr>
              <w:t>16.9M</w:t>
            </w:r>
          </w:p>
        </w:tc>
        <w:tc>
          <w:tcPr>
            <w:tcW w:w="1350" w:type="dxa"/>
            <w:tcMar>
              <w:top w:w="60" w:type="dxa"/>
              <w:left w:w="80" w:type="dxa"/>
              <w:bottom w:w="60" w:type="dxa"/>
              <w:right w:w="80" w:type="dxa"/>
            </w:tcMar>
            <w:vAlign w:val="center"/>
          </w:tcPr>
          <w:p w14:paraId="39158030" w14:textId="77777777" w:rsidR="00CC09F8" w:rsidRDefault="00000000">
            <w:pPr>
              <w:jc w:val="center"/>
            </w:pPr>
            <w:r>
              <w:rPr>
                <w:rFonts w:ascii="Calibri" w:eastAsia="Calibri" w:hAnsi="Calibri" w:cs="Calibri"/>
                <w:color w:val="000000"/>
                <w:sz w:val="18"/>
                <w:szCs w:val="18"/>
              </w:rPr>
              <w:t>19.8M</w:t>
            </w:r>
          </w:p>
        </w:tc>
        <w:tc>
          <w:tcPr>
            <w:tcW w:w="1300" w:type="dxa"/>
            <w:tcMar>
              <w:top w:w="60" w:type="dxa"/>
              <w:left w:w="80" w:type="dxa"/>
              <w:bottom w:w="60" w:type="dxa"/>
              <w:right w:w="80" w:type="dxa"/>
            </w:tcMar>
            <w:vAlign w:val="center"/>
          </w:tcPr>
          <w:p w14:paraId="08E39565" w14:textId="77777777" w:rsidR="00CC09F8" w:rsidRDefault="00000000">
            <w:pPr>
              <w:jc w:val="center"/>
            </w:pPr>
            <w:r>
              <w:rPr>
                <w:rFonts w:ascii="Calibri" w:eastAsia="Calibri" w:hAnsi="Calibri" w:cs="Calibri"/>
                <w:color w:val="000000"/>
                <w:sz w:val="18"/>
                <w:szCs w:val="18"/>
              </w:rPr>
              <w:t>+16.9%</w:t>
            </w:r>
          </w:p>
        </w:tc>
        <w:tc>
          <w:tcPr>
            <w:tcW w:w="1300" w:type="dxa"/>
            <w:tcMar>
              <w:top w:w="60" w:type="dxa"/>
              <w:left w:w="80" w:type="dxa"/>
              <w:bottom w:w="60" w:type="dxa"/>
              <w:right w:w="80" w:type="dxa"/>
            </w:tcMar>
            <w:vAlign w:val="center"/>
          </w:tcPr>
          <w:p w14:paraId="1DE70302" w14:textId="77777777" w:rsidR="00CC09F8" w:rsidRDefault="00000000">
            <w:pPr>
              <w:jc w:val="center"/>
            </w:pPr>
            <w:r>
              <w:rPr>
                <w:rFonts w:ascii="Calibri" w:eastAsia="Calibri" w:hAnsi="Calibri" w:cs="Calibri"/>
                <w:color w:val="000000"/>
                <w:sz w:val="18"/>
                <w:szCs w:val="18"/>
              </w:rPr>
              <w:t>$1.002</w:t>
            </w:r>
          </w:p>
        </w:tc>
        <w:tc>
          <w:tcPr>
            <w:tcW w:w="1350" w:type="dxa"/>
            <w:tcMar>
              <w:top w:w="60" w:type="dxa"/>
              <w:left w:w="80" w:type="dxa"/>
              <w:bottom w:w="60" w:type="dxa"/>
              <w:right w:w="80" w:type="dxa"/>
            </w:tcMar>
            <w:vAlign w:val="center"/>
          </w:tcPr>
          <w:p w14:paraId="426B29DC" w14:textId="77777777" w:rsidR="00CC09F8" w:rsidRDefault="00000000">
            <w:pPr>
              <w:jc w:val="center"/>
            </w:pPr>
            <w:r>
              <w:rPr>
                <w:rFonts w:ascii="Calibri" w:eastAsia="Calibri" w:hAnsi="Calibri" w:cs="Calibri"/>
                <w:color w:val="000000"/>
                <w:sz w:val="18"/>
                <w:szCs w:val="18"/>
              </w:rPr>
              <w:t>–17.7%</w:t>
            </w:r>
          </w:p>
        </w:tc>
      </w:tr>
      <w:tr w:rsidR="00CC09F8" w14:paraId="1E67BFCA" w14:textId="77777777">
        <w:tblPrEx>
          <w:tblCellMar>
            <w:top w:w="0" w:type="dxa"/>
            <w:bottom w:w="0" w:type="dxa"/>
          </w:tblCellMar>
        </w:tblPrEx>
        <w:tc>
          <w:tcPr>
            <w:tcW w:w="1900" w:type="dxa"/>
            <w:tcMar>
              <w:top w:w="60" w:type="dxa"/>
              <w:left w:w="80" w:type="dxa"/>
              <w:bottom w:w="60" w:type="dxa"/>
              <w:right w:w="80" w:type="dxa"/>
            </w:tcMar>
            <w:vAlign w:val="center"/>
          </w:tcPr>
          <w:p w14:paraId="2254277B" w14:textId="77777777" w:rsidR="00CC09F8" w:rsidRDefault="00000000">
            <w:r>
              <w:rPr>
                <w:rFonts w:ascii="Calibri" w:eastAsia="Calibri" w:hAnsi="Calibri" w:cs="Calibri"/>
                <w:color w:val="000000"/>
                <w:sz w:val="18"/>
                <w:szCs w:val="18"/>
              </w:rPr>
              <w:t>Total U.S.</w:t>
            </w:r>
          </w:p>
        </w:tc>
        <w:tc>
          <w:tcPr>
            <w:tcW w:w="1350" w:type="dxa"/>
            <w:tcMar>
              <w:top w:w="60" w:type="dxa"/>
              <w:left w:w="80" w:type="dxa"/>
              <w:bottom w:w="60" w:type="dxa"/>
              <w:right w:w="80" w:type="dxa"/>
            </w:tcMar>
            <w:vAlign w:val="center"/>
          </w:tcPr>
          <w:p w14:paraId="117B521C" w14:textId="77777777" w:rsidR="00CC09F8" w:rsidRDefault="00000000">
            <w:pPr>
              <w:jc w:val="center"/>
            </w:pPr>
            <w:r>
              <w:rPr>
                <w:rFonts w:ascii="Calibri" w:eastAsia="Calibri" w:hAnsi="Calibri" w:cs="Calibri"/>
                <w:color w:val="000000"/>
                <w:sz w:val="18"/>
                <w:szCs w:val="18"/>
              </w:rPr>
              <w:t>1,764.8M</w:t>
            </w:r>
          </w:p>
        </w:tc>
        <w:tc>
          <w:tcPr>
            <w:tcW w:w="1350" w:type="dxa"/>
            <w:tcMar>
              <w:top w:w="60" w:type="dxa"/>
              <w:left w:w="80" w:type="dxa"/>
              <w:bottom w:w="60" w:type="dxa"/>
              <w:right w:w="80" w:type="dxa"/>
            </w:tcMar>
            <w:vAlign w:val="center"/>
          </w:tcPr>
          <w:p w14:paraId="4309A708" w14:textId="77777777" w:rsidR="00CC09F8" w:rsidRDefault="00000000">
            <w:pPr>
              <w:jc w:val="center"/>
            </w:pPr>
            <w:r>
              <w:rPr>
                <w:rFonts w:ascii="Calibri" w:eastAsia="Calibri" w:hAnsi="Calibri" w:cs="Calibri"/>
                <w:color w:val="000000"/>
                <w:sz w:val="18"/>
                <w:szCs w:val="18"/>
              </w:rPr>
              <w:t>2,020.7M</w:t>
            </w:r>
          </w:p>
        </w:tc>
        <w:tc>
          <w:tcPr>
            <w:tcW w:w="1300" w:type="dxa"/>
            <w:tcMar>
              <w:top w:w="60" w:type="dxa"/>
              <w:left w:w="80" w:type="dxa"/>
              <w:bottom w:w="60" w:type="dxa"/>
              <w:right w:w="80" w:type="dxa"/>
            </w:tcMar>
            <w:vAlign w:val="center"/>
          </w:tcPr>
          <w:p w14:paraId="6459B3D9" w14:textId="77777777" w:rsidR="00CC09F8" w:rsidRDefault="00000000">
            <w:pPr>
              <w:jc w:val="center"/>
            </w:pPr>
            <w:r>
              <w:rPr>
                <w:rFonts w:ascii="Calibri" w:eastAsia="Calibri" w:hAnsi="Calibri" w:cs="Calibri"/>
                <w:color w:val="000000"/>
                <w:sz w:val="18"/>
                <w:szCs w:val="18"/>
              </w:rPr>
              <w:t>+14.5%</w:t>
            </w:r>
          </w:p>
        </w:tc>
        <w:tc>
          <w:tcPr>
            <w:tcW w:w="1300" w:type="dxa"/>
            <w:tcMar>
              <w:top w:w="60" w:type="dxa"/>
              <w:left w:w="80" w:type="dxa"/>
              <w:bottom w:w="60" w:type="dxa"/>
              <w:right w:w="80" w:type="dxa"/>
            </w:tcMar>
            <w:vAlign w:val="center"/>
          </w:tcPr>
          <w:p w14:paraId="605572C8" w14:textId="77777777" w:rsidR="00CC09F8" w:rsidRDefault="00000000">
            <w:pPr>
              <w:jc w:val="center"/>
            </w:pPr>
            <w:r>
              <w:rPr>
                <w:rFonts w:ascii="Calibri" w:eastAsia="Calibri" w:hAnsi="Calibri" w:cs="Calibri"/>
                <w:color w:val="000000"/>
                <w:sz w:val="18"/>
                <w:szCs w:val="18"/>
              </w:rPr>
              <w:t>$0.984</w:t>
            </w:r>
          </w:p>
        </w:tc>
        <w:tc>
          <w:tcPr>
            <w:tcW w:w="1350" w:type="dxa"/>
            <w:tcMar>
              <w:top w:w="60" w:type="dxa"/>
              <w:left w:w="80" w:type="dxa"/>
              <w:bottom w:w="60" w:type="dxa"/>
              <w:right w:w="80" w:type="dxa"/>
            </w:tcMar>
            <w:vAlign w:val="center"/>
          </w:tcPr>
          <w:p w14:paraId="49215286" w14:textId="77777777" w:rsidR="00CC09F8" w:rsidRDefault="00000000">
            <w:pPr>
              <w:jc w:val="center"/>
            </w:pPr>
            <w:r>
              <w:rPr>
                <w:rFonts w:ascii="Calibri" w:eastAsia="Calibri" w:hAnsi="Calibri" w:cs="Calibri"/>
                <w:color w:val="000000"/>
                <w:sz w:val="18"/>
                <w:szCs w:val="18"/>
              </w:rPr>
              <w:t>–19.0%</w:t>
            </w:r>
          </w:p>
        </w:tc>
      </w:tr>
    </w:tbl>
    <w:p w14:paraId="0D356B72" w14:textId="77777777" w:rsidR="00CC09F8" w:rsidRDefault="00CC09F8">
      <w:pPr>
        <w:spacing w:after="140"/>
      </w:pPr>
    </w:p>
    <w:p w14:paraId="5567BDB1" w14:textId="77777777" w:rsidR="00CC09F8" w:rsidRDefault="00000000">
      <w:pPr>
        <w:spacing w:after="120" w:line="264" w:lineRule="auto"/>
      </w:pPr>
      <w:commentRangeStart w:id="2"/>
      <w:r w:rsidRPr="00D965F6">
        <w:rPr>
          <w:rFonts w:ascii="Calibri" w:eastAsia="Calibri" w:hAnsi="Calibri" w:cs="Calibri"/>
          <w:highlight w:val="green"/>
        </w:rPr>
        <w:t>Combined, California, Arizona, and Nevada moved 391.6M units of conventional avocados YTD 2026 — 19.4% of total U.S. volume — despite representing a small fraction of U.S. population. California alone accounts for 15.6% of national volume.</w:t>
      </w:r>
      <w:r>
        <w:rPr>
          <w:rFonts w:ascii="Calibri" w:eastAsia="Calibri" w:hAnsi="Calibri" w:cs="Calibri"/>
        </w:rPr>
        <w:t xml:space="preserve"> </w:t>
      </w:r>
      <w:commentRangeEnd w:id="2"/>
      <w:r w:rsidR="00413C95">
        <w:rPr>
          <w:rStyle w:val="CommentReference"/>
          <w:rFonts w:ascii="Calibri" w:eastAsia="Calibri" w:hAnsi="Calibri" w:cs="Calibri"/>
          <w:sz w:val="20"/>
          <w:szCs w:val="20"/>
        </w:rPr>
        <w:commentReference w:id="2"/>
      </w:r>
      <w:r>
        <w:rPr>
          <w:rFonts w:ascii="Calibri" w:eastAsia="Calibri" w:hAnsi="Calibri" w:cs="Calibri"/>
        </w:rPr>
        <w:t>Our existing logistics footprint therefore sits inside the single densest avocado consumption corridor in the country, materially reducing last-mile distribution cost and inventory risk relative to a cold-start entry in an unfamiliar region.</w:t>
      </w:r>
    </w:p>
    <w:p w14:paraId="07E521DF" w14:textId="77777777" w:rsidR="00CC09F8" w:rsidRDefault="00000000">
      <w:pPr>
        <w:pBdr>
          <w:bottom w:val="single" w:sz="6" w:space="2" w:color="1F3864"/>
        </w:pBdr>
        <w:spacing w:before="200" w:after="80"/>
      </w:pPr>
      <w:r>
        <w:rPr>
          <w:rFonts w:ascii="Calibri" w:eastAsia="Calibri" w:hAnsi="Calibri" w:cs="Calibri"/>
          <w:b/>
          <w:bCs/>
          <w:color w:val="1F3864"/>
          <w:sz w:val="21"/>
          <w:szCs w:val="21"/>
        </w:rPr>
        <w:t>CATEGORY MIX: ORGANIC COMMANDS A DURABLE PREMIUM</w:t>
      </w:r>
    </w:p>
    <w:p w14:paraId="7C511112" w14:textId="77777777" w:rsidR="00CC09F8" w:rsidRDefault="00000000">
      <w:pPr>
        <w:spacing w:after="120" w:line="264" w:lineRule="auto"/>
      </w:pPr>
      <w:commentRangeStart w:id="3"/>
      <w:r w:rsidRPr="00D965F6">
        <w:rPr>
          <w:rFonts w:ascii="Calibri" w:eastAsia="Calibri" w:hAnsi="Calibri" w:cs="Calibri"/>
          <w:highlight w:val="green"/>
        </w:rPr>
        <w:t>Organic avocados carry a 58.9% ASP premium over conventional nationally ($1.564 vs. $0.984, YTD 2026), with comparable premiums holding in California (48.3%) and our other footprint states. Organic volume is roughly flat year-over-year nationally (–0.7%), indicating a stable, price-insulated sub-segment that presents a margin-diversification path once a conventional base is established.</w:t>
      </w:r>
      <w:commentRangeEnd w:id="3"/>
      <w:r w:rsidR="00A24A96">
        <w:rPr>
          <w:rStyle w:val="CommentReference"/>
          <w:sz w:val="20"/>
          <w:szCs w:val="20"/>
        </w:rPr>
        <w:commentReference w:id="3"/>
      </w:r>
    </w:p>
    <w:p w14:paraId="4D08CE0F" w14:textId="77777777" w:rsidR="00CC09F8" w:rsidRDefault="00000000">
      <w:pPr>
        <w:pBdr>
          <w:bottom w:val="single" w:sz="6" w:space="2" w:color="1F3864"/>
        </w:pBdr>
        <w:spacing w:before="200" w:after="80"/>
      </w:pPr>
      <w:r>
        <w:rPr>
          <w:rFonts w:ascii="Calibri" w:eastAsia="Calibri" w:hAnsi="Calibri" w:cs="Calibri"/>
          <w:b/>
          <w:bCs/>
          <w:color w:val="1F3864"/>
          <w:sz w:val="21"/>
          <w:szCs w:val="21"/>
        </w:rPr>
        <w:t>DEMAND SEASONALITY: OPERATIONAL PLANNING IMPLICATION</w:t>
      </w:r>
    </w:p>
    <w:p w14:paraId="65D5EC4A" w14:textId="77777777" w:rsidR="00CC09F8" w:rsidRDefault="00000000">
      <w:pPr>
        <w:spacing w:after="120" w:line="264" w:lineRule="auto"/>
      </w:pPr>
      <w:r>
        <w:rPr>
          <w:rFonts w:ascii="Calibri" w:eastAsia="Calibri" w:hAnsi="Calibri" w:cs="Calibri"/>
        </w:rPr>
        <w:t xml:space="preserve">HAB data confirms two recurring, </w:t>
      </w:r>
      <w:commentRangeStart w:id="4"/>
      <w:r w:rsidRPr="00D965F6">
        <w:rPr>
          <w:rFonts w:ascii="Calibri" w:eastAsia="Calibri" w:hAnsi="Calibri" w:cs="Calibri"/>
          <w:highlight w:val="green"/>
        </w:rPr>
        <w:t>sharply predictable demand spikes each year: Super Bowl week and Cinco de Mayo week. National conventional volume jumped 19.9% above the surrounding baseline for Super Bowl LX (week ending 2/8/26: 76.0M units) and 15.8%–28.6% above baseline in the equivalent 2025 window. Cinco de Mayo produced a comparable 10–16% spike in both years.</w:t>
      </w:r>
      <w:commentRangeEnd w:id="4"/>
      <w:r w:rsidR="00783B30">
        <w:rPr>
          <w:rStyle w:val="CommentReference"/>
          <w:rFonts w:ascii="Calibri" w:eastAsia="Calibri" w:hAnsi="Calibri" w:cs="Calibri"/>
          <w:sz w:val="20"/>
          <w:szCs w:val="20"/>
        </w:rPr>
        <w:commentReference w:id="4"/>
      </w:r>
      <w:r>
        <w:rPr>
          <w:rFonts w:ascii="Calibri" w:eastAsia="Calibri" w:hAnsi="Calibri" w:cs="Calibri"/>
        </w:rPr>
        <w:t xml:space="preserve"> These are category-wide, calendar-certain surges — not one-off anomalies — and should directly inform inventory staging and inbound freight scheduling for any entry plan.</w:t>
      </w:r>
    </w:p>
    <w:p w14:paraId="5AD6C0BA" w14:textId="77777777" w:rsidR="00CC09F8" w:rsidRDefault="00000000">
      <w:pPr>
        <w:pBdr>
          <w:bottom w:val="single" w:sz="6" w:space="2" w:color="1F3864"/>
        </w:pBdr>
        <w:spacing w:before="200" w:after="80"/>
      </w:pPr>
      <w:r>
        <w:rPr>
          <w:rFonts w:ascii="Calibri" w:eastAsia="Calibri" w:hAnsi="Calibri" w:cs="Calibri"/>
          <w:b/>
          <w:bCs/>
          <w:color w:val="1F3864"/>
          <w:sz w:val="21"/>
          <w:szCs w:val="21"/>
        </w:rPr>
        <w:lastRenderedPageBreak/>
        <w:t>RECOMMENDATION</w:t>
      </w:r>
    </w:p>
    <w:p w14:paraId="7BAC8458" w14:textId="77777777" w:rsidR="00CC09F8" w:rsidRDefault="00000000">
      <w:pPr>
        <w:spacing w:after="120" w:line="264" w:lineRule="auto"/>
      </w:pPr>
      <w:r>
        <w:rPr>
          <w:rFonts w:ascii="Calibri" w:eastAsia="Calibri" w:hAnsi="Calibri" w:cs="Calibri"/>
        </w:rPr>
        <w:t>The data supports proceeding to a detailed sourcing and margin feasibility study. Category volume is expanding, pricing trends favor retail affordability and velocity, and our current warehouse network already sits inside the highest-density consumption region in the country — minimizing the incremental distribution investment required to enter. We recommend a phased entry beginning in California, leveraging existing infrastructure, with expansion into Arizona and Nevada distribution once initial sourcing and vendor terms are validated.</w:t>
      </w:r>
    </w:p>
    <w:p w14:paraId="245E2FF0" w14:textId="77777777" w:rsidR="00CC09F8" w:rsidRDefault="00000000">
      <w:pPr>
        <w:pBdr>
          <w:top w:val="single" w:sz="4" w:space="4" w:color="BFBFBF"/>
        </w:pBdr>
        <w:spacing w:before="220"/>
      </w:pPr>
      <w:r>
        <w:rPr>
          <w:rFonts w:ascii="Calibri" w:eastAsia="Calibri" w:hAnsi="Calibri" w:cs="Calibri"/>
          <w:i/>
          <w:iCs/>
          <w:color w:val="595959"/>
          <w:sz w:val="16"/>
          <w:szCs w:val="16"/>
        </w:rPr>
        <w:t>Source: Hass Avocado Board (HAB) Weekly Flat File — Calendar Year 2025 (Weeks 1–52) and Year-to-Date 2026 (Weeks 1–32, week ending 8/9/2026). All figures are the sole product of the attached HAB retail scan data; no external sources were used.</w:t>
      </w:r>
    </w:p>
    <w:sectPr w:rsidR="00CC09F8">
      <w:footerReference w:type="default" r:id="rId11"/>
      <w:pgSz w:w="12240" w:h="15840"/>
      <w:pgMar w:top="900" w:right="1080" w:bottom="9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z, Aaron" w:date="2026-09-27T15:40:00Z" w:initials="AR">
    <w:p w14:paraId="24C14104" w14:textId="77777777" w:rsidR="00736A8C" w:rsidRDefault="00736A8C" w:rsidP="00736A8C">
      <w:pPr>
        <w:pStyle w:val="CommentText"/>
      </w:pPr>
      <w:r>
        <w:rPr>
          <w:rStyle w:val="CommentReference"/>
        </w:rPr>
        <w:annotationRef/>
      </w:r>
      <w:r>
        <w:t xml:space="preserve">Comparing 2025 and 2026 Part Year Avocado Revenue we see that California has the highest revenue with Arizona landing in the top 12 spot but Nevada does not make it on the top 30 meaning that it’s demand shouldn’t be compared so closely to California and Arizona. </w:t>
      </w:r>
    </w:p>
  </w:comment>
  <w:comment w:id="1" w:author="Rodriguez, Aaron" w:date="2026-09-27T16:42:00Z" w:initials="AR">
    <w:p w14:paraId="0E97A7EA" w14:textId="77777777" w:rsidR="00413C95" w:rsidRDefault="00413C95" w:rsidP="00413C95">
      <w:pPr>
        <w:pStyle w:val="CommentText"/>
      </w:pPr>
      <w:r>
        <w:rPr>
          <w:rStyle w:val="CommentReference"/>
        </w:rPr>
        <w:annotationRef/>
      </w:r>
      <w:r>
        <w:t xml:space="preserve">The stats here are correct after checking in Juypter Labs. The amount of volume sold has increased in the past year and the average selling price for avocados has decreased over the past year for California, Arizona, and Nevada </w:t>
      </w:r>
    </w:p>
  </w:comment>
  <w:comment w:id="2" w:author="Rodriguez, Aaron" w:date="2026-09-27T16:51:00Z" w:initials="AR">
    <w:p w14:paraId="2945DB38" w14:textId="77777777" w:rsidR="00413C95" w:rsidRDefault="00413C95" w:rsidP="00413C95">
      <w:pPr>
        <w:pStyle w:val="CommentText"/>
      </w:pPr>
      <w:r>
        <w:rPr>
          <w:rStyle w:val="CommentReference"/>
        </w:rPr>
        <w:annotationRef/>
      </w:r>
      <w:r>
        <w:t>This is also correct and backed up by Juypter Labs.</w:t>
      </w:r>
    </w:p>
  </w:comment>
  <w:comment w:id="3" w:author="Rodriguez, Aaron" w:date="2026-09-27T17:46:00Z" w:initials="AR">
    <w:p w14:paraId="3057F810" w14:textId="77777777" w:rsidR="00A24A96" w:rsidRDefault="00A24A96" w:rsidP="00A24A96">
      <w:pPr>
        <w:pStyle w:val="CommentText"/>
      </w:pPr>
      <w:r>
        <w:rPr>
          <w:rStyle w:val="CommentReference"/>
        </w:rPr>
        <w:annotationRef/>
      </w:r>
      <w:r>
        <w:t>The Organic avocados do in fact have a 58.9% higher average selling price when compared to the conventional avocados for the Total U.S. and somewhat the same in California with them being 48.3% higher. Although “roughly flat year-over-year” static is correct it should be reworded because it’s only accounting for the first 32 weeks in 2025 and 2026.</w:t>
      </w:r>
    </w:p>
  </w:comment>
  <w:comment w:id="4" w:author="Rodriguez, Aaron" w:date="2026-09-27T21:22:00Z" w:initials="AR">
    <w:p w14:paraId="6D2B5202" w14:textId="77777777" w:rsidR="00CA3743" w:rsidRDefault="00783B30" w:rsidP="00CA3743">
      <w:pPr>
        <w:pStyle w:val="CommentText"/>
      </w:pPr>
      <w:r>
        <w:rPr>
          <w:rStyle w:val="CommentReference"/>
        </w:rPr>
        <w:annotationRef/>
      </w:r>
      <w:r w:rsidR="00CA3743">
        <w:t>The correlation between the demand for Avocados increasing doing Super Bowl and Cinco de Mayo week is correct as well as the 19.9% volume spike in 2026 for Total U.S. Although the statement is “15.8% -28.6% above baseline in the equivalent 2025 window”  is slightly misleading since it’s not being specific with the 15.8% being a volume spike for Cinco de Mayo and the 28.6% being for Super Bowl week. Also the claim for “Cinco de Mayo produced a comparable 10 - 16% spike in both year.” should have been less vague and been detailed with claiming that the Total U.S. volume spike for 2025 was 15.8% and 10.3% for 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14104" w15:done="0"/>
  <w15:commentEx w15:paraId="0E97A7EA" w15:done="0"/>
  <w15:commentEx w15:paraId="2945DB38" w15:done="0"/>
  <w15:commentEx w15:paraId="3057F810" w15:done="0"/>
  <w15:commentEx w15:paraId="6D2B5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CE689B" w16cex:dateUtc="2026-09-27T22:40:00Z"/>
  <w16cex:commentExtensible w16cex:durableId="02E03B10" w16cex:dateUtc="2026-09-27T23:42:00Z"/>
  <w16cex:commentExtensible w16cex:durableId="4F1F22AC" w16cex:dateUtc="2026-09-27T23:51:00Z"/>
  <w16cex:commentExtensible w16cex:durableId="538AA5BE" w16cex:dateUtc="2026-09-28T00:46:00Z"/>
  <w16cex:commentExtensible w16cex:durableId="2E7E86B2" w16cex:dateUtc="2026-09-28T0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14104" w16cid:durableId="7ACE689B"/>
  <w16cid:commentId w16cid:paraId="0E97A7EA" w16cid:durableId="02E03B10"/>
  <w16cid:commentId w16cid:paraId="2945DB38" w16cid:durableId="4F1F22AC"/>
  <w16cid:commentId w16cid:paraId="3057F810" w16cid:durableId="538AA5BE"/>
  <w16cid:commentId w16cid:paraId="6D2B5202" w16cid:durableId="2E7E86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0201" w14:textId="77777777" w:rsidR="00B8609F" w:rsidRDefault="00B8609F">
      <w:r>
        <w:separator/>
      </w:r>
    </w:p>
  </w:endnote>
  <w:endnote w:type="continuationSeparator" w:id="0">
    <w:p w14:paraId="6F6CBEA7" w14:textId="77777777" w:rsidR="00B8609F" w:rsidRDefault="00B86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45239" w14:textId="77777777" w:rsidR="00CC09F8"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D965F6">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D965F6">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0FEC6" w14:textId="77777777" w:rsidR="00B8609F" w:rsidRDefault="00B8609F">
      <w:r>
        <w:separator/>
      </w:r>
    </w:p>
  </w:footnote>
  <w:footnote w:type="continuationSeparator" w:id="0">
    <w:p w14:paraId="4F1C66FE" w14:textId="77777777" w:rsidR="00B8609F" w:rsidRDefault="00B86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60AF"/>
    <w:multiLevelType w:val="hybridMultilevel"/>
    <w:tmpl w:val="E7928ECC"/>
    <w:lvl w:ilvl="0" w:tplc="9DEA9BBA">
      <w:start w:val="1"/>
      <w:numFmt w:val="bullet"/>
      <w:lvlText w:val="•"/>
      <w:lvlJc w:val="left"/>
      <w:pPr>
        <w:ind w:left="360" w:hanging="260"/>
      </w:pPr>
    </w:lvl>
    <w:lvl w:ilvl="1" w:tplc="963A9BFA">
      <w:numFmt w:val="decimal"/>
      <w:lvlText w:val=""/>
      <w:lvlJc w:val="left"/>
    </w:lvl>
    <w:lvl w:ilvl="2" w:tplc="2D26690C">
      <w:numFmt w:val="decimal"/>
      <w:lvlText w:val=""/>
      <w:lvlJc w:val="left"/>
    </w:lvl>
    <w:lvl w:ilvl="3" w:tplc="848A236C">
      <w:numFmt w:val="decimal"/>
      <w:lvlText w:val=""/>
      <w:lvlJc w:val="left"/>
    </w:lvl>
    <w:lvl w:ilvl="4" w:tplc="28DCEDCE">
      <w:numFmt w:val="decimal"/>
      <w:lvlText w:val=""/>
      <w:lvlJc w:val="left"/>
    </w:lvl>
    <w:lvl w:ilvl="5" w:tplc="815C3CC6">
      <w:numFmt w:val="decimal"/>
      <w:lvlText w:val=""/>
      <w:lvlJc w:val="left"/>
    </w:lvl>
    <w:lvl w:ilvl="6" w:tplc="D5EA046C">
      <w:numFmt w:val="decimal"/>
      <w:lvlText w:val=""/>
      <w:lvlJc w:val="left"/>
    </w:lvl>
    <w:lvl w:ilvl="7" w:tplc="0F6E4E26">
      <w:numFmt w:val="decimal"/>
      <w:lvlText w:val=""/>
      <w:lvlJc w:val="left"/>
    </w:lvl>
    <w:lvl w:ilvl="8" w:tplc="82B83E0A">
      <w:numFmt w:val="decimal"/>
      <w:lvlText w:val=""/>
      <w:lvlJc w:val="left"/>
    </w:lvl>
  </w:abstractNum>
  <w:abstractNum w:abstractNumId="1" w15:restartNumberingAfterBreak="0">
    <w:nsid w:val="4CCF5ED8"/>
    <w:multiLevelType w:val="hybridMultilevel"/>
    <w:tmpl w:val="3D30D8F8"/>
    <w:lvl w:ilvl="0" w:tplc="21947E5C">
      <w:start w:val="1"/>
      <w:numFmt w:val="bullet"/>
      <w:lvlText w:val="●"/>
      <w:lvlJc w:val="left"/>
      <w:pPr>
        <w:ind w:left="720" w:hanging="360"/>
      </w:pPr>
    </w:lvl>
    <w:lvl w:ilvl="1" w:tplc="0C8A4A70">
      <w:start w:val="1"/>
      <w:numFmt w:val="bullet"/>
      <w:lvlText w:val="○"/>
      <w:lvlJc w:val="left"/>
      <w:pPr>
        <w:ind w:left="1440" w:hanging="360"/>
      </w:pPr>
    </w:lvl>
    <w:lvl w:ilvl="2" w:tplc="042668C2">
      <w:start w:val="1"/>
      <w:numFmt w:val="bullet"/>
      <w:lvlText w:val="■"/>
      <w:lvlJc w:val="left"/>
      <w:pPr>
        <w:ind w:left="2160" w:hanging="360"/>
      </w:pPr>
    </w:lvl>
    <w:lvl w:ilvl="3" w:tplc="3E244D56">
      <w:start w:val="1"/>
      <w:numFmt w:val="bullet"/>
      <w:lvlText w:val="●"/>
      <w:lvlJc w:val="left"/>
      <w:pPr>
        <w:ind w:left="2880" w:hanging="360"/>
      </w:pPr>
    </w:lvl>
    <w:lvl w:ilvl="4" w:tplc="3ED02DA0">
      <w:start w:val="1"/>
      <w:numFmt w:val="bullet"/>
      <w:lvlText w:val="○"/>
      <w:lvlJc w:val="left"/>
      <w:pPr>
        <w:ind w:left="3600" w:hanging="360"/>
      </w:pPr>
    </w:lvl>
    <w:lvl w:ilvl="5" w:tplc="A9BAC4FA">
      <w:start w:val="1"/>
      <w:numFmt w:val="bullet"/>
      <w:lvlText w:val="■"/>
      <w:lvlJc w:val="left"/>
      <w:pPr>
        <w:ind w:left="4320" w:hanging="360"/>
      </w:pPr>
    </w:lvl>
    <w:lvl w:ilvl="6" w:tplc="44B65A88">
      <w:start w:val="1"/>
      <w:numFmt w:val="bullet"/>
      <w:lvlText w:val="●"/>
      <w:lvlJc w:val="left"/>
      <w:pPr>
        <w:ind w:left="5040" w:hanging="360"/>
      </w:pPr>
    </w:lvl>
    <w:lvl w:ilvl="7" w:tplc="84CAC8BE">
      <w:start w:val="1"/>
      <w:numFmt w:val="bullet"/>
      <w:lvlText w:val="●"/>
      <w:lvlJc w:val="left"/>
      <w:pPr>
        <w:ind w:left="5760" w:hanging="360"/>
      </w:pPr>
    </w:lvl>
    <w:lvl w:ilvl="8" w:tplc="DD8E4A6C">
      <w:start w:val="1"/>
      <w:numFmt w:val="bullet"/>
      <w:lvlText w:val="●"/>
      <w:lvlJc w:val="left"/>
      <w:pPr>
        <w:ind w:left="6480" w:hanging="360"/>
      </w:pPr>
    </w:lvl>
  </w:abstractNum>
  <w:num w:numId="1" w16cid:durableId="155045508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z, Aaron">
    <w15:presenceInfo w15:providerId="AD" w15:userId="S::aaronjrodriguez04@csu.fullerton.edu::dc055081-ebf6-46f0-ac05-d2ae64c21b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F8"/>
    <w:rsid w:val="003F1F01"/>
    <w:rsid w:val="00413C95"/>
    <w:rsid w:val="00736A8C"/>
    <w:rsid w:val="00783B30"/>
    <w:rsid w:val="00A24A96"/>
    <w:rsid w:val="00B8609F"/>
    <w:rsid w:val="00CA3743"/>
    <w:rsid w:val="00CC09F8"/>
    <w:rsid w:val="00D96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E3B6"/>
  <w15:docId w15:val="{E5A59705-E88C-4A8F-B377-710CC297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36A8C"/>
    <w:rPr>
      <w:sz w:val="16"/>
      <w:szCs w:val="16"/>
    </w:rPr>
  </w:style>
  <w:style w:type="paragraph" w:styleId="CommentText">
    <w:name w:val="annotation text"/>
    <w:basedOn w:val="Normal"/>
    <w:link w:val="CommentTextChar"/>
    <w:uiPriority w:val="99"/>
    <w:unhideWhenUsed/>
    <w:rsid w:val="00736A8C"/>
  </w:style>
  <w:style w:type="character" w:customStyle="1" w:styleId="CommentTextChar">
    <w:name w:val="Comment Text Char"/>
    <w:basedOn w:val="DefaultParagraphFont"/>
    <w:link w:val="CommentText"/>
    <w:uiPriority w:val="99"/>
    <w:rsid w:val="00736A8C"/>
  </w:style>
  <w:style w:type="paragraph" w:styleId="CommentSubject">
    <w:name w:val="annotation subject"/>
    <w:basedOn w:val="CommentText"/>
    <w:next w:val="CommentText"/>
    <w:link w:val="CommentSubjectChar"/>
    <w:uiPriority w:val="99"/>
    <w:semiHidden/>
    <w:unhideWhenUsed/>
    <w:rsid w:val="00736A8C"/>
    <w:rPr>
      <w:b/>
      <w:bCs/>
    </w:rPr>
  </w:style>
  <w:style w:type="character" w:customStyle="1" w:styleId="CommentSubjectChar">
    <w:name w:val="Comment Subject Char"/>
    <w:basedOn w:val="CommentTextChar"/>
    <w:link w:val="CommentSubject"/>
    <w:uiPriority w:val="99"/>
    <w:semiHidden/>
    <w:rsid w:val="00736A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Cal State Fullerton</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Rodriguez, Aaron</cp:lastModifiedBy>
  <cp:revision>2</cp:revision>
  <dcterms:created xsi:type="dcterms:W3CDTF">2026-09-28T05:29:00Z</dcterms:created>
  <dcterms:modified xsi:type="dcterms:W3CDTF">2026-09-28T05:29:00Z</dcterms:modified>
</cp:coreProperties>
</file>