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2980B9"/>
          <w:sz w:val="52"/>
        </w:rPr>
        <w:t>养老院交接班管理制度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888888"/>
          <w:sz w:val="20"/>
        </w:rPr>
        <w:t>V01 · 编制日期 2026 年 8 月 18 日 · 即日生效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编制单位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__________ 养老院</w:t>
            </w:r>
          </w:p>
        </w:tc>
        <w:tc>
          <w:tcPr>
            <w:tcW w:type="dxa" w:w="2353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版本号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V01</w:t>
            </w:r>
          </w:p>
        </w:tc>
      </w:tr>
      <w:tr>
        <w:tc>
          <w:tcPr>
            <w:tcW w:type="dxa" w:w="2353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适用范围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白班、24小时班所有护理岗</w:t>
            </w:r>
          </w:p>
        </w:tc>
        <w:tc>
          <w:tcPr>
            <w:tcW w:type="dxa" w:w="2353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生效日期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2026-08-18</w:t>
            </w:r>
          </w:p>
        </w:tc>
      </w:tr>
    </w:tbl>
    <w:p/>
    <w:p>
      <w:pPr>
        <w:spacing w:before="280" w:after="160"/>
        <w:jc w:val="left"/>
      </w:pPr>
      <w:r>
        <w:rPr>
          <w:rFonts w:ascii="微软雅黑" w:hAnsi="微软雅黑" w:eastAsia="微软雅黑"/>
          <w:b/>
          <w:color w:val="2980B9"/>
          <w:sz w:val="28"/>
        </w:rPr>
        <w:t>一、目的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将护理员交接班从"口头私了"升级为"书面签字 + 量化打勾 + 主管审核"的标准化流程，杜绝未完成事项私下掩盖、矛盾积累，确保白班与 24 小时岗之间、分班次之间的协作可量化、可追溯、可奖惩。</w:t>
      </w:r>
    </w:p>
    <w:p>
      <w:pPr>
        <w:spacing w:before="280" w:after="160"/>
        <w:jc w:val="left"/>
      </w:pPr>
      <w:r>
        <w:rPr>
          <w:rFonts w:ascii="微软雅黑" w:hAnsi="微软雅黑" w:eastAsia="微软雅黑"/>
          <w:b/>
          <w:color w:val="2980B9"/>
          <w:sz w:val="28"/>
        </w:rPr>
        <w:t>二、交接班原则</w:t>
      </w:r>
    </w:p>
    <w:p>
      <w:pPr>
        <w:ind w:left="420" w:hanging="420"/>
      </w:pPr>
      <w:r>
        <w:rPr>
          <w:rFonts w:ascii="微软雅黑" w:hAnsi="微软雅黑"/>
          <w:b/>
          <w:color w:val="2980B9"/>
          <w:sz w:val="22"/>
        </w:rPr>
        <w:t xml:space="preserve">● </w:t>
      </w:r>
      <w:r>
        <w:rPr>
          <w:rFonts w:ascii="微软雅黑" w:hAnsi="微软雅黑" w:eastAsia="微软雅黑"/>
          <w:b/>
          <w:color w:val="2B2B2B"/>
          <w:sz w:val="22"/>
        </w:rPr>
        <w:t>书面优先：</w:t>
      </w:r>
      <w:r>
        <w:rPr>
          <w:rFonts w:ascii="微软雅黑" w:hAnsi="微软雅黑" w:eastAsia="微软雅黑"/>
          <w:color w:val="333333"/>
          <w:sz w:val="22"/>
        </w:rPr>
        <w:t>所有交接内容必须书面记录，口头交接无效。</w:t>
      </w:r>
    </w:p>
    <w:p>
      <w:pPr>
        <w:ind w:left="420" w:hanging="420"/>
      </w:pPr>
      <w:r>
        <w:rPr>
          <w:rFonts w:ascii="微软雅黑" w:hAnsi="微软雅黑"/>
          <w:b/>
          <w:color w:val="2980B9"/>
          <w:sz w:val="22"/>
        </w:rPr>
        <w:t xml:space="preserve">● </w:t>
      </w:r>
      <w:r>
        <w:rPr>
          <w:rFonts w:ascii="微软雅黑" w:hAnsi="微软雅黑" w:eastAsia="微软雅黑"/>
          <w:b/>
          <w:color w:val="2B2B2B"/>
          <w:sz w:val="22"/>
        </w:rPr>
        <w:t>逐项打勾：</w:t>
      </w:r>
      <w:r>
        <w:rPr>
          <w:rFonts w:ascii="微软雅黑" w:hAnsi="微软雅黑" w:eastAsia="微软雅黑"/>
          <w:color w:val="333333"/>
          <w:sz w:val="22"/>
        </w:rPr>
        <w:t>完成打 ✓，未完成打 ✗，不适用打 —，无第三种状态。</w:t>
      </w:r>
    </w:p>
    <w:p>
      <w:pPr>
        <w:ind w:left="420" w:hanging="420"/>
      </w:pPr>
      <w:r>
        <w:rPr>
          <w:rFonts w:ascii="微软雅黑" w:hAnsi="微软雅黑"/>
          <w:b/>
          <w:color w:val="2980B9"/>
          <w:sz w:val="22"/>
        </w:rPr>
        <w:t xml:space="preserve">● </w:t>
      </w:r>
      <w:r>
        <w:rPr>
          <w:rFonts w:ascii="微软雅黑" w:hAnsi="微软雅黑" w:eastAsia="微软雅黑"/>
          <w:b/>
          <w:color w:val="2B2B2B"/>
          <w:sz w:val="22"/>
        </w:rPr>
        <w:t>双方签字：</w:t>
      </w:r>
      <w:r>
        <w:rPr>
          <w:rFonts w:ascii="微软雅黑" w:hAnsi="微软雅黑" w:eastAsia="微软雅黑"/>
          <w:color w:val="333333"/>
          <w:sz w:val="22"/>
        </w:rPr>
        <w:t>交班人、接班人双方签字后方可离岗，缺一不可。</w:t>
      </w:r>
    </w:p>
    <w:p>
      <w:pPr>
        <w:ind w:left="420" w:hanging="420"/>
      </w:pPr>
      <w:r>
        <w:rPr>
          <w:rFonts w:ascii="微软雅黑" w:hAnsi="微软雅黑"/>
          <w:b/>
          <w:color w:val="2980B9"/>
          <w:sz w:val="22"/>
        </w:rPr>
        <w:t xml:space="preserve">● </w:t>
      </w:r>
      <w:r>
        <w:rPr>
          <w:rFonts w:ascii="微软雅黑" w:hAnsi="微软雅黑" w:eastAsia="微软雅黑"/>
          <w:b/>
          <w:color w:val="2B2B2B"/>
          <w:sz w:val="22"/>
        </w:rPr>
        <w:t>主管审核：</w:t>
      </w:r>
      <w:r>
        <w:rPr>
          <w:rFonts w:ascii="微软雅黑" w:hAnsi="微软雅黑" w:eastAsia="微软雅黑"/>
          <w:color w:val="333333"/>
          <w:sz w:val="22"/>
        </w:rPr>
        <w:t>当班主管对交接表审核签字，抽查率 ≥ 30%。</w:t>
      </w:r>
    </w:p>
    <w:p>
      <w:pPr>
        <w:ind w:left="420" w:hanging="420"/>
      </w:pPr>
      <w:r>
        <w:rPr>
          <w:rFonts w:ascii="微软雅黑" w:hAnsi="微软雅黑"/>
          <w:b/>
          <w:color w:val="2980B9"/>
          <w:sz w:val="22"/>
        </w:rPr>
        <w:t xml:space="preserve">● </w:t>
      </w:r>
      <w:r>
        <w:rPr>
          <w:rFonts w:ascii="微软雅黑" w:hAnsi="微软雅黑" w:eastAsia="微软雅黑"/>
          <w:b/>
          <w:color w:val="2B2B2B"/>
          <w:sz w:val="22"/>
        </w:rPr>
        <w:t>可追溯：</w:t>
      </w:r>
      <w:r>
        <w:rPr>
          <w:rFonts w:ascii="微软雅黑" w:hAnsi="微软雅黑" w:eastAsia="微软雅黑"/>
          <w:color w:val="333333"/>
          <w:sz w:val="22"/>
        </w:rPr>
        <w:t>交接表保存 ≥ 6 个月备查，纸质 + 电子双轨归档。</w:t>
      </w:r>
    </w:p>
    <w:p>
      <w:pPr>
        <w:spacing w:before="280" w:after="160"/>
        <w:jc w:val="left"/>
      </w:pPr>
      <w:r>
        <w:rPr>
          <w:rFonts w:ascii="微软雅黑" w:hAnsi="微软雅黑" w:eastAsia="微软雅黑"/>
          <w:b/>
          <w:color w:val="2980B9"/>
          <w:sz w:val="28"/>
        </w:rPr>
        <w:t>三、交接班表使用规范</w:t>
      </w:r>
    </w:p>
    <w:p>
      <w:pPr>
        <w:spacing w:before="200" w:after="120"/>
        <w:jc w:val="left"/>
      </w:pPr>
      <w:r>
        <w:rPr>
          <w:rFonts w:ascii="微软雅黑" w:hAnsi="微软雅黑" w:eastAsia="微软雅黑"/>
          <w:b/>
          <w:color w:val="16A085"/>
          <w:sz w:val="24"/>
        </w:rPr>
        <w:t>3.1  24 小时班交接班表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适用于 24 小时岗上下班次（上午 24h / 下午 24h）之间的人员轮换。</w:t>
      </w:r>
    </w:p>
    <w:p>
      <w:pPr>
        <w:spacing w:after="80"/>
      </w:pPr>
      <w:r>
        <w:rPr>
          <w:rFonts w:ascii="微软雅黑" w:hAnsi="微软雅黑" w:eastAsia="微软雅黑"/>
          <w:b/>
          <w:color w:val="16A085"/>
          <w:sz w:val="22"/>
        </w:rPr>
        <w:t>必填模块：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一、老人护理交接 — 每位老人逐项确认（喂药 / 翻身 / 排泄 / 饮水 / 情绪 / 特殊情况）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二、用药 &amp; 医疗交接 — 药品名称、剂量、已服 / 未服 / 部分服 / 医嘱停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三、未完成事项 / 异常情况交接 — 必须书面记录（含床位、姓名、情况、处理建议）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四、物资 &amp; 设备交接 — 一次性用品 / 仪器设备 / 呼叫器状态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五、当班未完成统计 — Excel 公式自动计算 ✗ 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六、签字栏 — 交班人 / 接班人 / 主管审核（含时间）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2"/>
        </w:rPr>
        <w:t>特别要求：未完成事项必须明确写明床位、姓名、情况、处理建议，否则视为"口头私了"，双方各扣 50 元。</w:t>
      </w:r>
    </w:p>
    <w:p>
      <w:pPr>
        <w:spacing w:before="200" w:after="120"/>
        <w:jc w:val="left"/>
      </w:pPr>
      <w:r>
        <w:rPr>
          <w:rFonts w:ascii="微软雅黑" w:hAnsi="微软雅黑" w:eastAsia="微软雅黑"/>
          <w:b/>
          <w:color w:val="16A085"/>
          <w:sz w:val="24"/>
        </w:rPr>
        <w:t>3.2  白班交接班表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适用于白班（上午 / 下午）之间的人员轮换。</w:t>
      </w:r>
    </w:p>
    <w:p>
      <w:pPr>
        <w:spacing w:after="80"/>
      </w:pPr>
      <w:r>
        <w:rPr>
          <w:rFonts w:ascii="微软雅黑" w:hAnsi="微软雅黑" w:eastAsia="微软雅黑"/>
          <w:b/>
          <w:color w:val="16A085"/>
          <w:sz w:val="22"/>
        </w:rPr>
        <w:t>必填模块：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一、老人房间卫生检查 — 6 个房间 × 7 项（小餐桌 / 衣柜 / 衣物 / 床单 / 卫生间 / 垃圾桶 / 地面）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二、公共区域卫生检查 — 走廊 / 卫生间 / 餐厅 / 活动室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三、消毒 &amp; 物资交接 — 84 消毒液 / 酒精 / 清洁剂 / 垃圾袋（每日完成时间 + 库存检查）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四、未完成事项 / 异常情况交接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五、当班未完成统计 — Excel 公式自动计算 ✗ 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六、签字栏 — 交班人 / 接班人 / 主管审核（含时间）</w:t>
      </w:r>
    </w:p>
    <w:p>
      <w:pPr>
        <w:spacing w:before="280" w:after="160"/>
        <w:jc w:val="left"/>
      </w:pPr>
      <w:r>
        <w:rPr>
          <w:rFonts w:ascii="微软雅黑" w:hAnsi="微软雅黑" w:eastAsia="微软雅黑"/>
          <w:b/>
          <w:color w:val="2980B9"/>
          <w:sz w:val="28"/>
        </w:rPr>
        <w:t>四、交接班流程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①  班次结束前 15 分钟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交班人准备：填写交接表，✓ 完成的 / ✗ 未完成的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②  逐项检查填写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未完成事项必须书面记录处理建议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③  接班人到位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逐项核对，检查表内容是否属实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④  当面澄清疑问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有疑问当场解决，不允许事后追问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⑤  双方签字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写明时间，缺一不可离岗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⑥  主管审核签字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当班主管对交接表审核，抽查率 ≥ 30%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⑦  交接表归档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保存 ≥ 6 个月，纸质 + 电子双轨</w:t>
            </w:r>
          </w:p>
        </w:tc>
      </w:tr>
    </w:tbl>
    <w:p/>
    <w:p>
      <w:pPr>
        <w:spacing w:before="280" w:after="160"/>
        <w:jc w:val="left"/>
      </w:pPr>
      <w:r>
        <w:rPr>
          <w:rFonts w:ascii="微软雅黑" w:hAnsi="微软雅黑" w:eastAsia="微软雅黑"/>
          <w:b/>
          <w:color w:val="2980B9"/>
          <w:sz w:val="28"/>
        </w:rPr>
        <w:t>五、白班 ↔ 24 小时班互转协作细则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666666"/>
          <w:sz w:val="22"/>
        </w:rPr>
        <w:t>详见《养老院互转分级公示图》（红/黄/蓝三色分级，张贴在护理员工作区）。</w:t>
      </w:r>
    </w:p>
    <w:p>
      <w:pPr>
        <w:spacing w:before="200" w:after="120"/>
        <w:jc w:val="left"/>
      </w:pPr>
      <w:r>
        <w:rPr>
          <w:rFonts w:ascii="微软雅黑" w:hAnsi="微软雅黑" w:eastAsia="微软雅黑"/>
          <w:b/>
          <w:color w:val="16A085"/>
          <w:sz w:val="24"/>
        </w:rPr>
        <w:t>5.1  三色响应标准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颜色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响应时间</w:t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🔴 非常重要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1"/>
              </w:rPr>
              <w:t>红色</w:t>
            </w:r>
          </w:p>
        </w:tc>
        <w:tc>
          <w:tcPr>
            <w:tcW w:type="dxa" w:w="313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1"/>
              </w:rPr>
              <w:t>接到呼叫立即放下手中事到场</w:t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🟡 重要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1"/>
              </w:rPr>
              <w:t>黄色</w:t>
            </w:r>
          </w:p>
        </w:tc>
        <w:tc>
          <w:tcPr>
            <w:tcW w:type="dxa" w:w="313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1"/>
              </w:rPr>
              <w:t>5 分钟内必到岗</w:t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🔵 一般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1"/>
              </w:rPr>
              <w:t>蓝色</w:t>
            </w:r>
          </w:p>
        </w:tc>
        <w:tc>
          <w:tcPr>
            <w:tcW w:type="dxa" w:w="313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1"/>
              </w:rPr>
              <w:t>手头事毕后必做</w:t>
            </w:r>
          </w:p>
        </w:tc>
      </w:tr>
    </w:tbl>
    <w:p/>
    <w:p>
      <w:pPr>
        <w:spacing w:before="200" w:after="120"/>
        <w:jc w:val="left"/>
      </w:pPr>
      <w:r>
        <w:rPr>
          <w:rFonts w:ascii="微软雅黑" w:hAnsi="微软雅黑" w:eastAsia="微软雅黑"/>
          <w:b/>
          <w:color w:val="16A085"/>
          <w:sz w:val="24"/>
        </w:rPr>
        <w:t>5.2  奖惩挂钩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980B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情形</w:t>
            </w:r>
          </w:p>
        </w:tc>
        <w:tc>
          <w:tcPr>
            <w:tcW w:type="dxa" w:w="4706"/>
            <w:shd w:val="clear" w:color="auto" w:fill="2980B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🔴 红色场景未响应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1"/>
              </w:rPr>
              <w:t>当月绩效扣 100 元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🟡 黄色场景未响应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1"/>
              </w:rPr>
              <w:t>绩效扣 50 元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🔵 蓝色场景连续 3 次未做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1"/>
              </w:rPr>
              <w:t>扣 30 元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表现优秀者（主管评定）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1"/>
              </w:rPr>
              <w:t>从绩效预留池支出奖金奖励</w:t>
            </w:r>
          </w:p>
        </w:tc>
      </w:tr>
    </w:tbl>
    <w:p/>
    <w:p>
      <w:pPr>
        <w:spacing w:before="200" w:after="120"/>
        <w:jc w:val="left"/>
      </w:pPr>
      <w:r>
        <w:rPr>
          <w:rFonts w:ascii="微软雅黑" w:hAnsi="微软雅黑" w:eastAsia="微软雅黑"/>
          <w:b/>
          <w:color w:val="16A085"/>
          <w:sz w:val="24"/>
        </w:rPr>
        <w:t>5.3  申诉与反馈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员工对扣分有异议，可在 3 个工作日内向院长书面申诉，院长 24 小时内答复。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连续 3 次申诉成立的主管，需重新评定扣分合理性，必要时调整规则。</w:t>
      </w:r>
    </w:p>
    <w:p>
      <w:pPr>
        <w:spacing w:before="280" w:after="160"/>
        <w:jc w:val="left"/>
      </w:pPr>
      <w:r>
        <w:rPr>
          <w:rFonts w:ascii="微软雅黑" w:hAnsi="微软雅黑" w:eastAsia="微软雅黑"/>
          <w:b/>
          <w:color w:val="2980B9"/>
          <w:sz w:val="28"/>
        </w:rPr>
        <w:t>六、违规处理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违规行为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口头交接代替书面交接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1"/>
              </w:rPr>
              <w:t>当事人双方各扣 50 元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接班人未逐项检查签字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1"/>
              </w:rPr>
              <w:t>接班人扣 30 元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交班人未完成事项私自掩盖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1"/>
              </w:rPr>
              <w:t>交班人扣 50 元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主管未抽查或抽查率 &lt; 30%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1"/>
              </w:rPr>
              <w:t>主管扣 100 元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交接表丢失 / 损坏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1"/>
              </w:rPr>
              <w:t>当事人扣 50 元，重新补填</w:t>
            </w:r>
          </w:p>
        </w:tc>
      </w:tr>
    </w:tbl>
    <w:p/>
    <w:p>
      <w:pPr>
        <w:spacing w:before="280" w:after="160"/>
        <w:jc w:val="left"/>
      </w:pPr>
      <w:r>
        <w:rPr>
          <w:rFonts w:ascii="微软雅黑" w:hAnsi="微软雅黑" w:eastAsia="微软雅黑"/>
          <w:b/>
          <w:color w:val="2980B9"/>
          <w:sz w:val="28"/>
        </w:rPr>
        <w:t>七、附则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1. 本制度 V01 自 2026 年 8 月 18 日起执行。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2. 修订需经院长签字盖章后公示新版，版本号依次递增（V02 / V03 …）。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3. 每月召开 1 次交接班问题复盘会，由院长主持，护理员代表参加。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4. 试行期 1 个月，1 个月后根据执行情况修订 V02。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5. 执行 3 个月后形成"肌肉记忆"，员工遇到问题主动协助。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6. 配套 Excel 表《24小时班交接班表-V01》《白班交接班表-V01》由一线主管每周汇总存档。</w:t>
      </w:r>
    </w:p>
    <w:p>
      <w:pPr>
        <w:spacing w:before="280" w:after="160"/>
        <w:jc w:val="left"/>
      </w:pPr>
      <w:r>
        <w:rPr>
          <w:rFonts w:ascii="微软雅黑" w:hAnsi="微软雅黑" w:eastAsia="微软雅黑"/>
          <w:b/>
          <w:color w:val="2980B9"/>
          <w:sz w:val="28"/>
        </w:rPr>
        <w:t>八、关联文件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《养老院互转分级公示图》 — 红/黄/蓝三色（HTML + PNG，张贴护理员工作区）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《24小时班交接班表-V01.xlsx》 — 24 小时岗上下班次使用（可填写、含公式、下拉校验）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《白班交接班表-V01.xlsx》 — 白班上下午班次使用（可填写、含公式、下拉校验）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生效日期：2026-08-18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版本号：V01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i/>
          <w:color w:val="C0392B"/>
          <w:sz w:val="20"/>
        </w:rPr>
        <w:t>💡 核心心法：光靠人性做不了协作，天天念经也没用。规矩定好，左手一个大棒，右手一颗糖。量化之后让员工形成肌肉记忆，遇到问题主动协助。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