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360"/>
        <w:jc w:val="center"/>
      </w:pPr>
      <w:r>
        <w:rPr>
          <w:rFonts w:ascii="Times New Roman" w:cs="Times New Roman" w:eastAsia="Times New Roman" w:hAnsi="Times New Roman"/>
          <w:b/>
          <w:bCs/>
          <w:color w:val="000000"/>
          <w:sz w:val="32"/>
          <w:szCs w:val="32"/>
        </w:rPr>
        <w:t xml:space="preserve">CHAPTER TWO
THEORY, BACKGROUND AND LITERATURE REVIEW</w:t>
      </w:r>
    </w:p>
    <w:p>
      <w:pPr>
        <w:pStyle w:val="Heading1"/>
        <w:spacing w:after="120" w:before="240"/>
      </w:pPr>
      <w:r>
        <w:rPr>
          <w:rFonts w:ascii="Times New Roman" w:cs="Times New Roman" w:eastAsia="Times New Roman" w:hAnsi="Times New Roman"/>
          <w:b/>
          <w:bCs/>
          <w:color w:val="000000"/>
          <w:sz w:val="28"/>
          <w:szCs w:val="28"/>
        </w:rPr>
        <w:t xml:space="preserve">2.1 Introduction</w:t>
      </w:r>
    </w:p>
    <w:p>
      <w:pPr>
        <w:spacing w:after="120" w:before="120" w:line="360"/>
      </w:pPr>
      <w:r>
        <w:rPr>
          <w:rFonts w:ascii="Times New Roman" w:cs="Times New Roman" w:eastAsia="Times New Roman" w:hAnsi="Times New Roman"/>
          <w:color w:val="000000"/>
          <w:sz w:val="24"/>
          <w:szCs w:val="24"/>
        </w:rPr>
        <w:t xml:space="preserve">This chapter presents a comprehensive, multi-dimensional review of the theoretical frameworks, technical core concepts, and empirical literature guiding the design, deployment, and operational evaluation of a smart campus streetlight management and fault reporting system. Streetlighting is a fundamental municipal and institutional utility, bearing directly on public safety, vehicular and pedestrian mobility, night-time campus security, and campus-wide energy consumption. Traditional utility management paradigms in higher education environments rely heavily on manual night patrols or unstructured, passive reporting channels (such as informal calls or general emails to administration). These traditional methods are plagued by significant latency, operational opaqueness, and high labor costs.</w:t>
      </w:r>
    </w:p>
    <w:p>
      <w:pPr>
        <w:spacing w:after="120" w:before="120" w:line="360"/>
      </w:pPr>
      <w:r>
        <w:rPr>
          <w:rFonts w:ascii="Times New Roman" w:cs="Times New Roman" w:eastAsia="Times New Roman" w:hAnsi="Times New Roman"/>
          <w:color w:val="000000"/>
          <w:sz w:val="24"/>
          <w:szCs w:val="24"/>
        </w:rPr>
        <w:t xml:space="preserve">By exploring key theoretical foundations—specifically Cyber-Physical Systems (CPS), Public Participation Geographic Information Systems (PPGIS), Civic Technology &amp; Service Coproduction, and the Unified Theory of Acceptance and Use of Technology (UTAUT)—this chapter establishes a rigorous academic scaffolding for the Campus Glow system. Furthermore, this review provides a contextual review of smart campus transformations, surveys the technical evolution of streetlight monitoring networks, evaluates the socio-technical trade-offs between automated IoT sensors and crowdsourced models, and critically synthesizes related municipal and academic platforms globally. Finally, this chapter identifies and analyzes critical gaps in existing literature, particularly regarding the high capital barriers in low-to-middle-income countries (LMICs), spatial precision limitations of standard GPS pinning, and the absence of integrated CRM ticketing solutions to close the maintenance dispatch loop. The chapter concludes by defining the precise academic and operational positioning of the Campus Glow system.</w:t>
      </w:r>
    </w:p>
    <w:p>
      <w:pPr>
        <w:pStyle w:val="Heading1"/>
        <w:spacing w:after="120" w:before="240"/>
      </w:pPr>
      <w:r>
        <w:rPr>
          <w:rFonts w:ascii="Times New Roman" w:cs="Times New Roman" w:eastAsia="Times New Roman" w:hAnsi="Times New Roman"/>
          <w:b/>
          <w:bCs/>
          <w:color w:val="000000"/>
          <w:sz w:val="28"/>
          <w:szCs w:val="28"/>
        </w:rPr>
        <w:t xml:space="preserve">2.2 Theoretical Frameworks</w:t>
      </w:r>
    </w:p>
    <w:p>
      <w:pPr>
        <w:pStyle w:val="Heading2"/>
        <w:spacing w:after="120" w:before="240"/>
      </w:pPr>
      <w:r>
        <w:rPr>
          <w:rFonts w:ascii="Times New Roman" w:cs="Times New Roman" w:eastAsia="Times New Roman" w:hAnsi="Times New Roman"/>
          <w:b/>
          <w:bCs/>
          <w:color w:val="000000"/>
          <w:sz w:val="24"/>
          <w:szCs w:val="24"/>
        </w:rPr>
        <w:t xml:space="preserve">2.2.1 Cyber-Physical Systems (CPS)</w:t>
      </w:r>
    </w:p>
    <w:p>
      <w:pPr>
        <w:spacing w:after="120" w:before="120" w:line="360"/>
      </w:pPr>
      <w:r>
        <w:rPr>
          <w:rFonts w:ascii="Times New Roman" w:cs="Times New Roman" w:eastAsia="Times New Roman" w:hAnsi="Times New Roman"/>
          <w:color w:val="000000"/>
          <w:sz w:val="24"/>
          <w:szCs w:val="24"/>
        </w:rPr>
        <w:t xml:space="preserve">The paradigm of Cyber-Physical Systems (CPS) provides the foundational architectural logic for linking physical utilities with software control layers. As established by Lee (2008), Cyber-Physical Systems represent integrations of computation, networking, and physical processes. Embedded computers and networks monitor and control physical processes, with feedback loops where physical states inform cyber computations, and cyber decisions in turn actuate physical changes. Historically, CPS implementations are centered on closed-loop automation—such as SCADA systems in power grids or autopilot systems in aviation—where hardware sensors directly trigger software computations, which subsequently activate hardware actuators without human intervention.</w:t>
      </w:r>
    </w:p>
    <w:p>
      <w:pPr>
        <w:spacing w:after="120" w:before="120" w:line="360"/>
      </w:pPr>
      <w:r>
        <w:rPr>
          <w:rFonts w:ascii="Times New Roman" w:cs="Times New Roman" w:eastAsia="Times New Roman" w:hAnsi="Times New Roman"/>
          <w:color w:val="000000"/>
          <w:sz w:val="24"/>
          <w:szCs w:val="24"/>
        </w:rPr>
        <w:t xml:space="preserve">In public infrastructure and campus utility settings, however, establishing a fully automated closed-loop CPS (e.g., installing individual smart sensors on thousands of streetlights to detect outages wirelessly) is economically unviable and technically complex for resource-constrained institutions. Campus Glow addresses this by modeling campus lighting as a human-in-the-loop Cyber-Physical System. Here, the physical assets are the physical streetlight poles distributed across the geographic expanse of the University of Ghana campus. Each pole possesses specific, real-world physical states (e.g., active, offline, damaged, intermittent). The cyber controller comprises a cloud relational database (PostgreSQL deployed via Supabase), real-time pub-sub sync mechanisms, and administrative web interfaces.</w:t>
      </w:r>
    </w:p>
    <w:p>
      <w:pPr>
        <w:spacing w:after="120" w:before="120" w:line="360"/>
      </w:pPr>
      <w:r>
        <w:rPr>
          <w:rFonts w:ascii="Times New Roman" w:cs="Times New Roman" w:eastAsia="Times New Roman" w:hAnsi="Times New Roman"/>
          <w:color w:val="000000"/>
          <w:sz w:val="24"/>
          <w:szCs w:val="24"/>
        </w:rPr>
        <w:t xml:space="preserve">The critical feedback loop is bridged by campus citizens—students, faculty, and security patrols—who function as active human sensors. When an outage occurs, a physical action (scanning a unique tag on the pole) updates the cyber layer, creating a digital ticket. This digital event triggers an administrative maintenance dispatch, prompting a physical intervention by an electrical technician. Once the technician completes the repair, they log the resolution digitally (submitting photo verification), which updates the cyber dashboard, thereby closing the cyber-physical control loop. This approach highlights how public utility management can substitute expensive physical sensor arrays with structured crowdsourced human-physical interactions.</w:t>
      </w:r>
    </w:p>
    <w:p>
      <w:pPr>
        <w:pStyle w:val="Heading2"/>
        <w:spacing w:after="120" w:before="240"/>
      </w:pPr>
      <w:r>
        <w:rPr>
          <w:rFonts w:ascii="Times New Roman" w:cs="Times New Roman" w:eastAsia="Times New Roman" w:hAnsi="Times New Roman"/>
          <w:b/>
          <w:bCs/>
          <w:color w:val="000000"/>
          <w:sz w:val="24"/>
          <w:szCs w:val="24"/>
        </w:rPr>
        <w:t xml:space="preserve">2.2.2 Public Participation Geographic Information Systems (PPGIS)</w:t>
      </w:r>
    </w:p>
    <w:p>
      <w:pPr>
        <w:spacing w:after="120" w:before="120" w:line="360"/>
      </w:pPr>
      <w:r>
        <w:rPr>
          <w:rFonts w:ascii="Times New Roman" w:cs="Times New Roman" w:eastAsia="Times New Roman" w:hAnsi="Times New Roman"/>
          <w:color w:val="000000"/>
          <w:sz w:val="24"/>
          <w:szCs w:val="24"/>
        </w:rPr>
        <w:t xml:space="preserve">Public Participation Geographic Information Systems (PPGIS) emerged in the late 1990s as a research field focused on democratizing Geographic Information Systems (GIS) to allow non-expert community members to participate in urban planning, environmental monitoring, and public utility decision-making (Sieber, 2006). Traditionally, GIS technologies were highly centralized, complex, and restricted to geographers and administrative authorities due to expensive desktop licensing and steep learning curves. PPGIS research seeks to break down these barriers by providing accessible interfaces that allow local communities to map environmental hazards, document land disputes, or coordinate local development projects.</w:t>
      </w:r>
    </w:p>
    <w:p>
      <w:pPr>
        <w:spacing w:after="120" w:before="120" w:line="360"/>
      </w:pPr>
      <w:r>
        <w:rPr>
          <w:rFonts w:ascii="Times New Roman" w:cs="Times New Roman" w:eastAsia="Times New Roman" w:hAnsi="Times New Roman"/>
          <w:color w:val="000000"/>
          <w:sz w:val="24"/>
          <w:szCs w:val="24"/>
        </w:rPr>
        <w:t xml:space="preserve">While historical PPGIS literature focuses on static mapping and macro-environmental inputs, Campus Glow adapts the PPGIS model for real-time micro-spatial utility tracking. Instead of mapping broad neighborhoods or territorial polygons, Campus Glow provides non-expert campus residents with the ability to perform high-precision georeferenced node tracking on an interactive campus map. In crowdsourced platforms, spatial imprecision remains a persistent challenge; when users manually drop pins on mobile maps, standard GPS drift and human spatial confusion lead to inaccurate location inputs.</w:t>
      </w:r>
    </w:p>
    <w:p>
      <w:pPr>
        <w:spacing w:after="120" w:before="120" w:line="360"/>
      </w:pPr>
      <w:r>
        <w:rPr>
          <w:rFonts w:ascii="Times New Roman" w:cs="Times New Roman" w:eastAsia="Times New Roman" w:hAnsi="Times New Roman"/>
          <w:color w:val="000000"/>
          <w:sz w:val="24"/>
          <w:szCs w:val="24"/>
        </w:rPr>
        <w:t xml:space="preserve">Campus Glow resolves this PPGIS limitation by pairing digital mapping interfaces with physical identification tags (QR codes) physically attached to streetlight poles. By scanning a localized code, users generate structured georeferenced reports linked to the exact coordinates of the physical pole. This model transforms the student body from passive consumers into active GIS contributors, supplying high-fidelity data to the university administration and democratizing the campus maintenance lifecycle.</w:t>
      </w:r>
    </w:p>
    <w:p>
      <w:pPr>
        <w:pStyle w:val="Heading2"/>
        <w:spacing w:after="120" w:before="240"/>
      </w:pPr>
      <w:r>
        <w:rPr>
          <w:rFonts w:ascii="Times New Roman" w:cs="Times New Roman" w:eastAsia="Times New Roman" w:hAnsi="Times New Roman"/>
          <w:b/>
          <w:bCs/>
          <w:color w:val="000000"/>
          <w:sz w:val="24"/>
          <w:szCs w:val="24"/>
        </w:rPr>
        <w:t xml:space="preserve">2.2.3 Civic Technology &amp; Service Coproduction</w:t>
      </w:r>
    </w:p>
    <w:p>
      <w:pPr>
        <w:spacing w:after="120" w:before="120" w:line="360"/>
      </w:pPr>
      <w:r>
        <w:rPr>
          <w:rFonts w:ascii="Times New Roman" w:cs="Times New Roman" w:eastAsia="Times New Roman" w:hAnsi="Times New Roman"/>
          <w:color w:val="000000"/>
          <w:sz w:val="24"/>
          <w:szCs w:val="24"/>
        </w:rPr>
        <w:t xml:space="preserve">The concept of service coproduction, pioneered by Nobel laureate Elinor Ostrom (1996), describes the processes through which inputs from individuals who are not in the same organization are transformed into public goods and services. In public administration, coproduction represents a fundamental departure from traditional, top-down bureaucratic models, establishing instead a collaborative framework where citizens and public agencies jointly produce services (Lember et al., 2019). Civic technology—digital platforms designed to connect citizens with government bodies—serves as the primary enabler of coproduction in the digital age, stripping away traditional bureaucratic barriers and allowing direct citizen-technician communication.</w:t>
      </w:r>
    </w:p>
    <w:p>
      <w:pPr>
        <w:spacing w:after="120" w:before="120" w:line="360"/>
      </w:pPr>
      <w:r>
        <w:rPr>
          <w:rFonts w:ascii="Times New Roman" w:cs="Times New Roman" w:eastAsia="Times New Roman" w:hAnsi="Times New Roman"/>
          <w:color w:val="000000"/>
          <w:sz w:val="24"/>
          <w:szCs w:val="24"/>
        </w:rPr>
        <w:t xml:space="preserve">At the University of Ghana, streetlight maintenance has historically been managed through a highly centralized, administrative framework under the Physical Development and Municipal Services Directorate (PDMSD). Students and staff remained passive consumers of dark walkways. Campus Glow introduces a digital coproduction model. Students and university personnel supply critical operational inputs (observations of broken streetlights, live photograph proofs, specific pole descriptions) while PDMSD technicians supply the maintenance labor to execute repairs. This joint model creates a shared responsibility framework for campus safety, demonstrating how civic technology can transform university residents into active co-producers of a secure campus environment.</w:t>
      </w:r>
    </w:p>
    <w:p>
      <w:pPr>
        <w:pStyle w:val="Heading2"/>
        <w:spacing w:after="120" w:before="240"/>
      </w:pPr>
      <w:r>
        <w:rPr>
          <w:rFonts w:ascii="Times New Roman" w:cs="Times New Roman" w:eastAsia="Times New Roman" w:hAnsi="Times New Roman"/>
          <w:b/>
          <w:bCs/>
          <w:color w:val="000000"/>
          <w:sz w:val="24"/>
          <w:szCs w:val="24"/>
        </w:rPr>
        <w:t xml:space="preserve">2.2.4 Unified Theory of Acceptance and Use of Technology (UTAUT)</w:t>
      </w:r>
    </w:p>
    <w:p>
      <w:pPr>
        <w:spacing w:after="120" w:before="120" w:line="360"/>
      </w:pPr>
      <w:r>
        <w:rPr>
          <w:rFonts w:ascii="Times New Roman" w:cs="Times New Roman" w:eastAsia="Times New Roman" w:hAnsi="Times New Roman"/>
          <w:color w:val="000000"/>
          <w:sz w:val="24"/>
          <w:szCs w:val="24"/>
        </w:rPr>
        <w:t xml:space="preserve">Deploying a civic reporting system is futile if the target community refuses to adopt the software. To model and predict student and staff engagement, this research leverages the Unified Theory of Acceptance and Use of Technology (UTAUT) framework developed by Venkatesh et al. (2003). UTAUT argues that technology adoption is driven by four primary constructs: performance expectancy, effort expectancy, social influence, and facilitating conditions. For Campus Glow, these constructs are analyzed as follows:</w:t>
      </w:r>
    </w:p>
    <w:p>
      <w:pPr>
        <w:spacing w:after="60" w:before="60" w:line="360"/>
        <w:ind w:left="720"/>
      </w:pPr>
      <w:r>
        <w:rPr>
          <w:rFonts w:ascii="Times New Roman" w:cs="Times New Roman" w:eastAsia="Times New Roman" w:hAnsi="Times New Roman"/>
          <w:b/>
          <w:bCs/>
          <w:color w:val="000000"/>
          <w:sz w:val="24"/>
          <w:szCs w:val="24"/>
        </w:rPr>
        <w:t xml:space="preserve">• Performance Expectancy: </w:t>
      </w:r>
      <w:r>
        <w:rPr>
          <w:rFonts w:ascii="Times New Roman" w:cs="Times New Roman" w:eastAsia="Times New Roman" w:hAnsi="Times New Roman"/>
          <w:color w:val="000000"/>
          <w:sz w:val="24"/>
          <w:szCs w:val="24"/>
        </w:rPr>
        <w:t xml:space="preserve">This is the degree to which users believe the system will help them achieve gains in utility. Students will report broken streetlights if and only if they believe their reports will result in tangible repairs. Thus, the system must provide transparent status updates (e.g., changing status from 'Reported' to 'Technician Dispatched' to 'Resolved') to build institutional trust.</w:t>
      </w:r>
    </w:p>
    <w:p>
      <w:pPr>
        <w:spacing w:after="60" w:before="60" w:line="360"/>
        <w:ind w:left="720"/>
      </w:pPr>
      <w:r>
        <w:rPr>
          <w:rFonts w:ascii="Times New Roman" w:cs="Times New Roman" w:eastAsia="Times New Roman" w:hAnsi="Times New Roman"/>
          <w:b/>
          <w:bCs/>
          <w:color w:val="000000"/>
          <w:sz w:val="24"/>
          <w:szCs w:val="24"/>
        </w:rPr>
        <w:t xml:space="preserve">• Effort Expectancy: </w:t>
      </w:r>
      <w:r>
        <w:rPr>
          <w:rFonts w:ascii="Times New Roman" w:cs="Times New Roman" w:eastAsia="Times New Roman" w:hAnsi="Times New Roman"/>
          <w:color w:val="000000"/>
          <w:sz w:val="24"/>
          <w:szCs w:val="24"/>
        </w:rPr>
        <w:t xml:space="preserve">This is the perceived ease of use. Interactive friction is the single greatest cause of user abandonment in crowdsourced apps. Forcing students to download an application, register credentials, and type detailed landmark reports causes rapid drop-offs. Campus Glow addresses this by providing a lightweight web-app accessible via a QR scan, reducing the reporting flow to a scan, photo snap, and click, taking under 10 seconds.</w:t>
      </w:r>
    </w:p>
    <w:p>
      <w:pPr>
        <w:spacing w:after="60" w:before="60" w:line="360"/>
        <w:ind w:left="720"/>
      </w:pPr>
      <w:r>
        <w:rPr>
          <w:rFonts w:ascii="Times New Roman" w:cs="Times New Roman" w:eastAsia="Times New Roman" w:hAnsi="Times New Roman"/>
          <w:b/>
          <w:bCs/>
          <w:color w:val="000000"/>
          <w:sz w:val="24"/>
          <w:szCs w:val="24"/>
        </w:rPr>
        <w:t xml:space="preserve">• Facilitating Conditions: </w:t>
      </w:r>
      <w:r>
        <w:rPr>
          <w:rFonts w:ascii="Times New Roman" w:cs="Times New Roman" w:eastAsia="Times New Roman" w:hAnsi="Times New Roman"/>
          <w:color w:val="000000"/>
          <w:sz w:val="24"/>
          <w:szCs w:val="24"/>
        </w:rPr>
        <w:t xml:space="preserve">This is the availability of infrastructure to support system use. The high smartphone penetration rate at the University of Ghana, combined with campus-wide Wi-Fi access (UG Wi-Fi), provides the necessary technical conditions that enable users to submit georeferenced reports instantly while walking.</w:t>
      </w:r>
    </w:p>
    <w:p>
      <w:pPr>
        <w:pStyle w:val="Heading2"/>
        <w:spacing w:after="120" w:before="240"/>
      </w:pPr>
      <w:r>
        <w:rPr>
          <w:rFonts w:ascii="Times New Roman" w:cs="Times New Roman" w:eastAsia="Times New Roman" w:hAnsi="Times New Roman"/>
          <w:b/>
          <w:bCs/>
          <w:color w:val="000000"/>
          <w:sz w:val="24"/>
          <w:szCs w:val="24"/>
        </w:rPr>
        <w:t xml:space="preserve">2.2.5 Conceptual Framework Synthesis</w:t>
      </w:r>
    </w:p>
    <w:p>
      <w:pPr>
        <w:spacing w:after="120" w:before="120" w:line="360"/>
      </w:pPr>
      <w:r>
        <w:rPr>
          <w:rFonts w:ascii="Times New Roman" w:cs="Times New Roman" w:eastAsia="Times New Roman" w:hAnsi="Times New Roman"/>
          <w:color w:val="000000"/>
          <w:sz w:val="24"/>
          <w:szCs w:val="24"/>
        </w:rPr>
        <w:t xml:space="preserve">The conceptual framework of Campus Glow integrates these theoretical paradigms into an operational loop. Cyber-Physical Systems (CPS) provide the core loop structure (physical state changes informing cyber states, leading to physical repairs). Public Participation GIS (PPGIS) dictates the spatial layout (QR codes mapping to interactive web maps). Civic Coproduction establishes the collaborative social framework, and UTAUT guides the interface design to ensure adoption. The interaction of these models is organized into Inputs, Processes, and Outcomes:</w:t>
      </w:r>
    </w:p>
    <w:p>
      <w:pPr>
        <w:spacing w:after="60" w:before="60" w:line="360"/>
        <w:ind w:left="720"/>
      </w:pPr>
      <w:r>
        <w:rPr>
          <w:rFonts w:ascii="Times New Roman" w:cs="Times New Roman" w:eastAsia="Times New Roman" w:hAnsi="Times New Roman"/>
          <w:b/>
          <w:bCs/>
          <w:color w:val="000000"/>
          <w:sz w:val="24"/>
          <w:szCs w:val="24"/>
        </w:rPr>
        <w:t xml:space="preserve">• Inputs: </w:t>
      </w:r>
      <w:r>
        <w:rPr>
          <w:rFonts w:ascii="Times New Roman" w:cs="Times New Roman" w:eastAsia="Times New Roman" w:hAnsi="Times New Roman"/>
          <w:color w:val="000000"/>
          <w:sz w:val="24"/>
          <w:szCs w:val="24"/>
        </w:rPr>
        <w:t xml:space="preserve">Physical assets (campus streetlight grid), human capital (students, staff, PDMSD personnel), and social motivation (night safety, crime deterrence, pedestrian protection).</w:t>
      </w:r>
    </w:p>
    <w:p>
      <w:pPr>
        <w:spacing w:after="60" w:before="60" w:line="360"/>
        <w:ind w:left="720"/>
      </w:pPr>
      <w:r>
        <w:rPr>
          <w:rFonts w:ascii="Times New Roman" w:cs="Times New Roman" w:eastAsia="Times New Roman" w:hAnsi="Times New Roman"/>
          <w:b/>
          <w:bCs/>
          <w:color w:val="000000"/>
          <w:sz w:val="24"/>
          <w:szCs w:val="24"/>
        </w:rPr>
        <w:t xml:space="preserve">• Processes: </w:t>
      </w:r>
      <w:r>
        <w:rPr>
          <w:rFonts w:ascii="Times New Roman" w:cs="Times New Roman" w:eastAsia="Times New Roman" w:hAnsi="Times New Roman"/>
          <w:color w:val="000000"/>
          <w:sz w:val="24"/>
          <w:szCs w:val="24"/>
        </w:rPr>
        <w:t xml:space="preserve">PPGIS-driven node tracking (physical QR tags on poles), database sync (Supabase Real-time WebSockets), and civic coproduction (mobile-first reporting + administrative CRM workflow).</w:t>
      </w:r>
    </w:p>
    <w:p>
      <w:pPr>
        <w:spacing w:after="60" w:before="60" w:line="360"/>
        <w:ind w:left="720"/>
      </w:pPr>
      <w:r>
        <w:rPr>
          <w:rFonts w:ascii="Times New Roman" w:cs="Times New Roman" w:eastAsia="Times New Roman" w:hAnsi="Times New Roman"/>
          <w:b/>
          <w:bCs/>
          <w:color w:val="000000"/>
          <w:sz w:val="24"/>
          <w:szCs w:val="24"/>
        </w:rPr>
        <w:t xml:space="preserve">• Outcomes: </w:t>
      </w:r>
      <w:r>
        <w:rPr>
          <w:rFonts w:ascii="Times New Roman" w:cs="Times New Roman" w:eastAsia="Times New Roman" w:hAnsi="Times New Roman"/>
          <w:color w:val="000000"/>
          <w:sz w:val="24"/>
          <w:szCs w:val="24"/>
        </w:rPr>
        <w:t xml:space="preserve">Closed-loop utility maintenance, low operational latency (reduced Mean Time to Repair), zero sensor infrastructure costs, and a safer campus environment.</w:t>
      </w:r>
    </w:p>
    <w:p>
      <w:pPr>
        <w:spacing w:after="240" w:before="240"/>
        <w:jc w:val="center"/>
      </w:pPr>
      <w:r>
        <w:rPr>
          <w:rFonts w:ascii="Times New Roman" w:cs="Times New Roman" w:eastAsia="Times New Roman" w:hAnsi="Times New Roman"/>
          <w:color w:val="94A3B8"/>
          <w:sz w:val="16"/>
          <w:szCs w:val="16"/>
        </w:rPr>
        <w:t xml:space="preserve">_________________________________________________________________________________</w:t>
      </w:r>
    </w:p>
    <w:p>
      <w:pPr>
        <w:pStyle w:val="Heading1"/>
        <w:spacing w:after="120" w:before="240"/>
      </w:pPr>
      <w:r>
        <w:rPr>
          <w:rFonts w:ascii="Times New Roman" w:cs="Times New Roman" w:eastAsia="Times New Roman" w:hAnsi="Times New Roman"/>
          <w:b/>
          <w:bCs/>
          <w:color w:val="000000"/>
          <w:sz w:val="28"/>
          <w:szCs w:val="28"/>
        </w:rPr>
        <w:t xml:space="preserve">2.3 Contextual and Technical Background</w:t>
      </w:r>
    </w:p>
    <w:p>
      <w:pPr>
        <w:pStyle w:val="Heading2"/>
        <w:spacing w:after="120" w:before="240"/>
      </w:pPr>
      <w:r>
        <w:rPr>
          <w:rFonts w:ascii="Times New Roman" w:cs="Times New Roman" w:eastAsia="Times New Roman" w:hAnsi="Times New Roman"/>
          <w:b/>
          <w:bCs/>
          <w:color w:val="000000"/>
          <w:sz w:val="24"/>
          <w:szCs w:val="24"/>
        </w:rPr>
        <w:t xml:space="preserve">2.3.1 The Smart Campus Paradigm</w:t>
      </w:r>
    </w:p>
    <w:p>
      <w:pPr>
        <w:spacing w:after="120" w:before="120" w:line="360"/>
      </w:pPr>
      <w:r>
        <w:rPr>
          <w:rFonts w:ascii="Times New Roman" w:cs="Times New Roman" w:eastAsia="Times New Roman" w:hAnsi="Times New Roman"/>
          <w:color w:val="000000"/>
          <w:sz w:val="24"/>
          <w:szCs w:val="24"/>
        </w:rPr>
        <w:t xml:space="preserve">Modern university campuses are increasingly conceptualized in literature as socio-technical micro-cities. Occupying large geographic areas, containing residential blocks, commercial facilities, transportation networks, water distribution grids, and dedicated security forces, higher education institutions mirror the complexities of small cities (Gourisetti et al., 2020). Consequently, campuses serve as ideal sandboxes and testing grounds for smart city technologies. The lessons learned from deploying digitized utility systems on a campus can be directly scaled to broader municipal environments.</w:t>
      </w:r>
    </w:p>
    <w:p>
      <w:pPr>
        <w:spacing w:after="120" w:before="120" w:line="360"/>
      </w:pPr>
      <w:r>
        <w:rPr>
          <w:rFonts w:ascii="Times New Roman" w:cs="Times New Roman" w:eastAsia="Times New Roman" w:hAnsi="Times New Roman"/>
          <w:color w:val="000000"/>
          <w:sz w:val="24"/>
          <w:szCs w:val="24"/>
        </w:rPr>
        <w:t xml:space="preserve">Within the campus environment, streetlighting represents a vital infrastructure pillar that directly affects student life, night-time mobility, academic productivity, and safety. A poorly lit campus restricts pedestrian movement, increases the risk of vehicular-pedestrian accidents, and creates opportunities for crime. At the University of Ghana, Accra, the legacy utility management workflow has historically been manual, disconnected, and slow. The Physical Development and Municipal Services Directorate (PDMSD) has relied on manual inspections or verbal reports by campus security personnel, leading to prolonged dark zones, delayed maintenance, and a complete lack of historical data for predictive asset management.</w:t>
      </w:r>
    </w:p>
    <w:p>
      <w:pPr>
        <w:pStyle w:val="Heading2"/>
        <w:spacing w:after="120" w:before="240"/>
      </w:pPr>
      <w:r>
        <w:rPr>
          <w:rFonts w:ascii="Times New Roman" w:cs="Times New Roman" w:eastAsia="Times New Roman" w:hAnsi="Times New Roman"/>
          <w:b/>
          <w:bCs/>
          <w:color w:val="000000"/>
          <w:sz w:val="24"/>
          <w:szCs w:val="24"/>
        </w:rPr>
        <w:t xml:space="preserve">2.3.2 Evolution of Streetlight Monitoring Systems</w:t>
      </w:r>
    </w:p>
    <w:p>
      <w:pPr>
        <w:spacing w:after="120" w:before="120" w:line="360"/>
      </w:pPr>
      <w:r>
        <w:rPr>
          <w:rFonts w:ascii="Times New Roman" w:cs="Times New Roman" w:eastAsia="Times New Roman" w:hAnsi="Times New Roman"/>
          <w:color w:val="000000"/>
          <w:sz w:val="24"/>
          <w:szCs w:val="24"/>
        </w:rPr>
        <w:t xml:space="preserve">The technical methodologies used to monitor and maintain streetlighting grids have undergone significant transformations over the past three decades:</w:t>
      </w:r>
    </w:p>
    <w:p>
      <w:pPr>
        <w:spacing w:after="60" w:before="60" w:line="360"/>
        <w:ind w:left="720"/>
      </w:pPr>
      <w:r>
        <w:rPr>
          <w:rFonts w:ascii="Times New Roman" w:cs="Times New Roman" w:eastAsia="Times New Roman" w:hAnsi="Times New Roman"/>
          <w:b/>
          <w:bCs/>
          <w:color w:val="000000"/>
          <w:sz w:val="24"/>
          <w:szCs w:val="24"/>
        </w:rPr>
        <w:t xml:space="preserve">1. Manual Patrol Inspection (Pre-2000s): </w:t>
      </w:r>
      <w:r>
        <w:rPr>
          <w:rFonts w:ascii="Times New Roman" w:cs="Times New Roman" w:eastAsia="Times New Roman" w:hAnsi="Times New Roman"/>
          <w:color w:val="000000"/>
          <w:sz w:val="24"/>
          <w:szCs w:val="24"/>
        </w:rPr>
        <w:t xml:space="preserve">Maintenance crews drive around campus at night to catalog broken bulbs on paper. This approach is labor-intensive, has high fuel costs, and exhibits a reporting latency of days or weeks.</w:t>
      </w:r>
    </w:p>
    <w:p>
      <w:pPr>
        <w:spacing w:after="60" w:before="60" w:line="360"/>
        <w:ind w:left="720"/>
      </w:pPr>
      <w:r>
        <w:rPr>
          <w:rFonts w:ascii="Times New Roman" w:cs="Times New Roman" w:eastAsia="Times New Roman" w:hAnsi="Times New Roman"/>
          <w:b/>
          <w:bCs/>
          <w:color w:val="000000"/>
          <w:sz w:val="24"/>
          <w:szCs w:val="24"/>
        </w:rPr>
        <w:t xml:space="preserve">2. Photo-Sensor and Timer Automation (2000s - 2010s): </w:t>
      </w:r>
      <w:r>
        <w:rPr>
          <w:rFonts w:ascii="Times New Roman" w:cs="Times New Roman" w:eastAsia="Times New Roman" w:hAnsi="Times New Roman"/>
          <w:color w:val="000000"/>
          <w:sz w:val="24"/>
          <w:szCs w:val="24"/>
        </w:rPr>
        <w:t xml:space="preserve">Automation was introduced via photocells and timers that turn light grids on and off based on ambient light levels or schedules. While this improves energy efficiency, it does not provide a back-channel for reporting; if a lamp fails, the system remains unaware.</w:t>
      </w:r>
    </w:p>
    <w:p>
      <w:pPr>
        <w:spacing w:after="60" w:before="60" w:line="360"/>
        <w:ind w:left="720"/>
      </w:pPr>
      <w:r>
        <w:rPr>
          <w:rFonts w:ascii="Times New Roman" w:cs="Times New Roman" w:eastAsia="Times New Roman" w:hAnsi="Times New Roman"/>
          <w:b/>
          <w:bCs/>
          <w:color w:val="000000"/>
          <w:sz w:val="24"/>
          <w:szCs w:val="24"/>
        </w:rPr>
        <w:t xml:space="preserve">3. Sensor-Based Smart Nodes / Internet of Things (2010s - Present): </w:t>
      </w:r>
      <w:r>
        <w:rPr>
          <w:rFonts w:ascii="Times New Roman" w:cs="Times New Roman" w:eastAsia="Times New Roman" w:hAnsi="Times New Roman"/>
          <w:color w:val="000000"/>
          <w:sz w:val="24"/>
          <w:szCs w:val="24"/>
        </w:rPr>
        <w:t xml:space="preserve">The modern standard in wealthy municipalities involves attaching smart wireless nodes to each streetlight (using LoRaWAN, ZigBee, or cellular networks) to measure electrical parameters. Although technically advanced, these networks require high capital expenditure and ongoing maintenance, making them difficult to sustain in resource-constrained environments.</w:t>
      </w:r>
    </w:p>
    <w:p>
      <w:pPr>
        <w:spacing w:after="60" w:before="60" w:line="360"/>
        <w:ind w:left="720"/>
      </w:pPr>
      <w:r>
        <w:rPr>
          <w:rFonts w:ascii="Times New Roman" w:cs="Times New Roman" w:eastAsia="Times New Roman" w:hAnsi="Times New Roman"/>
          <w:b/>
          <w:bCs/>
          <w:color w:val="000000"/>
          <w:sz w:val="24"/>
          <w:szCs w:val="24"/>
        </w:rPr>
        <w:t xml:space="preserve">4. Crowdsourced Smart Governance (Emerging): </w:t>
      </w:r>
      <w:r>
        <w:rPr>
          <w:rFonts w:ascii="Times New Roman" w:cs="Times New Roman" w:eastAsia="Times New Roman" w:hAnsi="Times New Roman"/>
          <w:color w:val="000000"/>
          <w:sz w:val="24"/>
          <w:szCs w:val="24"/>
        </w:rPr>
        <w:t xml:space="preserve">Leveraging human sensors through physical tags (like QR codes) and mobile web platforms. This approach bridges physical assets to digital tracking with near-zero hardware costs, leveraging student foot traffic to identify and report faults.</w:t>
      </w:r>
    </w:p>
    <w:p>
      <w:pPr>
        <w:pStyle w:val="Heading2"/>
        <w:spacing w:after="120" w:before="240"/>
      </w:pPr>
      <w:r>
        <w:rPr>
          <w:rFonts w:ascii="Times New Roman" w:cs="Times New Roman" w:eastAsia="Times New Roman" w:hAnsi="Times New Roman"/>
          <w:b/>
          <w:bCs/>
          <w:color w:val="000000"/>
          <w:sz w:val="24"/>
          <w:szCs w:val="24"/>
        </w:rPr>
        <w:t xml:space="preserve">2.3.3 Crowdsourcing Dynamics &amp; Civic Engagement</w:t>
      </w:r>
    </w:p>
    <w:p>
      <w:pPr>
        <w:spacing w:after="120" w:before="120" w:line="360"/>
      </w:pPr>
      <w:r>
        <w:rPr>
          <w:rFonts w:ascii="Times New Roman" w:cs="Times New Roman" w:eastAsia="Times New Roman" w:hAnsi="Times New Roman"/>
          <w:color w:val="000000"/>
          <w:sz w:val="24"/>
          <w:szCs w:val="24"/>
        </w:rPr>
        <w:t xml:space="preserve">Smart streetlight management systems must balance technical capability with human factors. A crowdsourced platform relies on civic engagement to function. The primary barrier is the 'free rider dilemma' first conceptualized by Mancur Olson (1965) in his logic of collective action. In a campus setting, hundreds of students walk past a broken streetlight each night. However, most will not report it, assuming that someone else has already done so or that university authorities are already aware. This results in under-reporting and sustained infrastructure neglect.</w:t>
      </w:r>
    </w:p>
    <w:p>
      <w:pPr>
        <w:spacing w:after="120" w:before="120" w:line="360"/>
      </w:pPr>
      <w:r>
        <w:rPr>
          <w:rFonts w:ascii="Times New Roman" w:cs="Times New Roman" w:eastAsia="Times New Roman" w:hAnsi="Times New Roman"/>
          <w:color w:val="000000"/>
          <w:sz w:val="24"/>
          <w:szCs w:val="24"/>
        </w:rPr>
        <w:t xml:space="preserve">To overcome this collective action barrier, civic technology systems must minimize 'interactive friction.' If the reporting flow requires downloading a native mobile app, undergoing email verification, and manually describing the location, user participation drops sharply. Campus Glow addresses this by mapping a physical QR code to each pole. By scanning the QR code, a student bypasses registration and location input, reducing the reporting flow to scanning, taking a photo, and hitting submit in under ten seconds. Furthermore, providing a public status loop (notifying users when a report is 'assigned' or 'resolved') establishes institutional transparency, building community trust and reinforcing long-term civic participation.</w:t>
      </w:r>
    </w:p>
    <w:p>
      <w:pPr>
        <w:pStyle w:val="Heading2"/>
        <w:spacing w:after="120" w:before="240"/>
      </w:pPr>
      <w:r>
        <w:rPr>
          <w:rFonts w:ascii="Times New Roman" w:cs="Times New Roman" w:eastAsia="Times New Roman" w:hAnsi="Times New Roman"/>
          <w:b/>
          <w:bCs/>
          <w:color w:val="000000"/>
          <w:sz w:val="24"/>
          <w:szCs w:val="24"/>
        </w:rPr>
        <w:t xml:space="preserve">2.3.4 Asset Identification &amp; Tracking Technologies</w:t>
      </w:r>
    </w:p>
    <w:p>
      <w:pPr>
        <w:spacing w:after="120" w:before="120" w:line="360"/>
      </w:pPr>
      <w:r>
        <w:rPr>
          <w:rFonts w:ascii="Times New Roman" w:cs="Times New Roman" w:eastAsia="Times New Roman" w:hAnsi="Times New Roman"/>
          <w:color w:val="000000"/>
          <w:sz w:val="24"/>
          <w:szCs w:val="24"/>
        </w:rPr>
        <w:t xml:space="preserve">Accurately linking a citizen’s report to a specific physical asset is critical for operational efficiency. Various tagging and tracking technologies have been explored in literature:</w:t>
      </w:r>
    </w:p>
    <w:p>
      <w:pPr>
        <w:spacing w:after="60" w:before="60" w:line="360"/>
        <w:ind w:left="720"/>
      </w:pPr>
      <w:r>
        <w:rPr>
          <w:rFonts w:ascii="Times New Roman" w:cs="Times New Roman" w:eastAsia="Times New Roman" w:hAnsi="Times New Roman"/>
          <w:b/>
          <w:bCs/>
          <w:color w:val="000000"/>
          <w:sz w:val="24"/>
          <w:szCs w:val="24"/>
        </w:rPr>
        <w:t xml:space="preserve">• RFID and NFC Tags: </w:t>
      </w:r>
      <w:r>
        <w:rPr>
          <w:rFonts w:ascii="Times New Roman" w:cs="Times New Roman" w:eastAsia="Times New Roman" w:hAnsi="Times New Roman"/>
          <w:color w:val="000000"/>
          <w:sz w:val="24"/>
          <w:szCs w:val="24"/>
        </w:rPr>
        <w:t xml:space="preserve">Requires users to hold phones within centimeters of the tag. High physical accessibility requirements (can't scan tags placed high on poles). High installation and hardware cost. Many low-end smartphones lack NFC chips.</w:t>
      </w:r>
    </w:p>
    <w:p>
      <w:pPr>
        <w:spacing w:after="60" w:before="60" w:line="360"/>
        <w:ind w:left="720"/>
      </w:pPr>
      <w:r>
        <w:rPr>
          <w:rFonts w:ascii="Times New Roman" w:cs="Times New Roman" w:eastAsia="Times New Roman" w:hAnsi="Times New Roman"/>
          <w:b/>
          <w:bCs/>
          <w:color w:val="000000"/>
          <w:sz w:val="24"/>
          <w:szCs w:val="24"/>
        </w:rPr>
        <w:t xml:space="preserve">• GPS Coordinate Pinning: </w:t>
      </w:r>
      <w:r>
        <w:rPr>
          <w:rFonts w:ascii="Times New Roman" w:cs="Times New Roman" w:eastAsia="Times New Roman" w:hAnsi="Times New Roman"/>
          <w:color w:val="000000"/>
          <w:sz w:val="24"/>
          <w:szCs w:val="24"/>
        </w:rPr>
        <w:t xml:space="preserve">Standard smartphone GPS coordinates drift 5 to 20 meters, which is exacerbated by campus tree canopies, weather, and proximity to concrete academic buildings. When streetlights are spaced closely together (e.g., 5 to 10 meters apart along corridors), GPS pins often point to the wrong light, confusing technicians.</w:t>
      </w:r>
    </w:p>
    <w:p>
      <w:pPr>
        <w:spacing w:after="60" w:before="60" w:line="360"/>
        <w:ind w:left="720"/>
      </w:pPr>
      <w:r>
        <w:rPr>
          <w:rFonts w:ascii="Times New Roman" w:cs="Times New Roman" w:eastAsia="Times New Roman" w:hAnsi="Times New Roman"/>
          <w:b/>
          <w:bCs/>
          <w:color w:val="000000"/>
          <w:sz w:val="24"/>
          <w:szCs w:val="24"/>
        </w:rPr>
        <w:t xml:space="preserve">• Quick Response (QR) Codes: </w:t>
      </w:r>
      <w:r>
        <w:rPr>
          <w:rFonts w:ascii="Times New Roman" w:cs="Times New Roman" w:eastAsia="Times New Roman" w:hAnsi="Times New Roman"/>
          <w:color w:val="000000"/>
          <w:sz w:val="24"/>
          <w:szCs w:val="24"/>
        </w:rPr>
        <w:t xml:space="preserve">QR codes printed on weather-resistant vinyl stickers solve these issues. They are highly legible from several meters away, even in dim twilight, and are compatible with all camera-equipped smartphones. By embedding unique asset IDs directly in the QR payload, the system immediately matches the scanned report to the exact streetlight node in the database, eliminating geo-spatial ambiguity.</w:t>
      </w:r>
    </w:p>
    <w:p>
      <w:pPr>
        <w:pStyle w:val="Heading2"/>
        <w:spacing w:after="120" w:before="240"/>
      </w:pPr>
      <w:r>
        <w:rPr>
          <w:rFonts w:ascii="Times New Roman" w:cs="Times New Roman" w:eastAsia="Times New Roman" w:hAnsi="Times New Roman"/>
          <w:b/>
          <w:bCs/>
          <w:color w:val="000000"/>
          <w:sz w:val="24"/>
          <w:szCs w:val="24"/>
        </w:rPr>
        <w:t xml:space="preserve">2.3.5 Real-Time Pub-Sub Database Architectures</w:t>
      </w:r>
    </w:p>
    <w:p>
      <w:pPr>
        <w:spacing w:after="120" w:before="120" w:line="360"/>
      </w:pPr>
      <w:r>
        <w:rPr>
          <w:rFonts w:ascii="Times New Roman" w:cs="Times New Roman" w:eastAsia="Times New Roman" w:hAnsi="Times New Roman"/>
          <w:color w:val="000000"/>
          <w:sz w:val="24"/>
          <w:szCs w:val="24"/>
        </w:rPr>
        <w:t xml:space="preserve">Modern web applications are shifting away from legacy client-server patterns (such as periodic HTTP polling) towards real-time event-driven models. HTTP polling involves client dashboards repeatedly requesting updates from the server, which creates high network overhead and introduces latencies in data visualization.</w:t>
      </w:r>
    </w:p>
    <w:p>
      <w:pPr>
        <w:spacing w:after="120" w:before="120" w:line="360"/>
      </w:pPr>
      <w:r>
        <w:rPr>
          <w:rFonts w:ascii="Times New Roman" w:cs="Times New Roman" w:eastAsia="Times New Roman" w:hAnsi="Times New Roman"/>
          <w:color w:val="000000"/>
          <w:sz w:val="24"/>
          <w:szCs w:val="24"/>
        </w:rPr>
        <w:t xml:space="preserve">To support real-time data sync, systems employ WebSockets to establish a single, persistent TCP connection. Campus Glow utilizes Supabase's Realtime engine, which monitors the PostgreSQL database’s Write-Ahead Logs (WAL). When a transaction modifies a table (e.g., a new fault is reported), the engine immediately broadcasts this change via WebSockets to all connected administrative dashboards and technician CRM terminals. This publish-subscribe model ensures that utility managers can monitor incoming reports and assign tasks immediately without page reloads, closing the cyber-physical control loop in real time.</w:t>
      </w:r>
    </w:p>
    <w:p>
      <w:pPr>
        <w:pStyle w:val="Heading2"/>
        <w:spacing w:after="120" w:before="240"/>
      </w:pPr>
      <w:r>
        <w:rPr>
          <w:rFonts w:ascii="Times New Roman" w:cs="Times New Roman" w:eastAsia="Times New Roman" w:hAnsi="Times New Roman"/>
          <w:b/>
          <w:bCs/>
          <w:color w:val="000000"/>
          <w:sz w:val="24"/>
          <w:szCs w:val="24"/>
        </w:rPr>
        <w:t xml:space="preserve">2.3.6 Maintenance Operations, Ticketing Workflows, &amp; SLA Tracking</w:t>
      </w:r>
    </w:p>
    <w:p>
      <w:pPr>
        <w:spacing w:after="120" w:before="120" w:line="360"/>
      </w:pPr>
      <w:r>
        <w:rPr>
          <w:rFonts w:ascii="Times New Roman" w:cs="Times New Roman" w:eastAsia="Times New Roman" w:hAnsi="Times New Roman"/>
          <w:color w:val="000000"/>
          <w:sz w:val="24"/>
          <w:szCs w:val="24"/>
        </w:rPr>
        <w:t xml:space="preserve">An effective public utility management system must close the maintenance loop by coordinating field technician workflows. In operations management, maintenance is classified as either preventive (scheduled inspections to prevent failure) or corrective (repairs conducted after a fault is reported). Campus Glow focuses on corrective maintenance, seeking to minimize the Mean Time to Repair (MTTR).</w:t>
      </w:r>
    </w:p>
    <w:p>
      <w:pPr>
        <w:spacing w:after="120" w:before="120" w:line="360"/>
      </w:pPr>
      <w:r>
        <w:rPr>
          <w:rFonts w:ascii="Times New Roman" w:cs="Times New Roman" w:eastAsia="Times New Roman" w:hAnsi="Times New Roman"/>
          <w:color w:val="000000"/>
          <w:sz w:val="24"/>
          <w:szCs w:val="24"/>
        </w:rPr>
        <w:t xml:space="preserve">A critical component of this coordination is the enforcement of priority-based Service Level Agreements (SLAs). In utility operations, SLA models dictate maximum response times based on security and safety risks. For example, a fault reported near a female residential hall or a high-traffic pedestrian intersection is classified as 'High Priority' with a 24-hour repair SLA, whereas a light in an aesthetic garden zone might be 'Low Priority' with a 72-hour SLA. To close the ticketing loop, technicians must submit a digital 'Repair Form' containing photographic proof of the operational light. The system validates this input, updates the database, and publishes the resolved status back to the public, preventing incomplete or unverified work orders.</w:t>
      </w:r>
    </w:p>
    <w:p>
      <w:pPr>
        <w:spacing w:after="60" w:before="180"/>
      </w:pPr>
      <w:r>
        <w:rPr>
          <w:rFonts w:ascii="Times New Roman" w:cs="Times New Roman" w:eastAsia="Times New Roman" w:hAnsi="Times New Roman"/>
          <w:b/>
          <w:bCs/>
          <w:color w:val="000000"/>
          <w:sz w:val="22"/>
          <w:szCs w:val="22"/>
        </w:rPr>
        <w:t xml:space="preserve">Table 2.1: Technical and Economic Comparison of Streetlight Monitoring Models</w:t>
      </w:r>
    </w:p>
    <w:tbl>
      <w:tblPr>
        <w:tblW w:type="pct" w:w="100%"/>
        <w:tblBorders>
          <w:top w:val="single" w:color="CBD5E1" w:sz="1"/>
          <w:left w:val="single" w:color="CBD5E1" w:sz="1"/>
          <w:bottom w:val="single" w:color="CBD5E1" w:sz="1"/>
          <w:right w:val="single" w:color="CBD5E1" w:sz="1"/>
          <w:insideH w:val="single" w:color="CBD5E1" w:sz="1"/>
          <w:insideV w:val="single" w:color="CBD5E1" w:sz="1"/>
        </w:tblBorders>
      </w:tblPr>
      <w:tblGrid>
        <w:gridCol w:w="100"/>
        <w:gridCol w:w="100"/>
        <w:gridCol w:w="100"/>
      </w:tblGrid>
      <w:tr>
        <w:trPr>
          <w:trHeight w:val="400" w:hRule="atLeast"/>
        </w:trPr>
        <w:tc>
          <w:tcPr>
            <w:shd w:fill="1E293B"/>
            <w:vAlign w:val="center"/>
          </w:tcPr>
          <w:p>
            <w:pPr>
              <w:jc w:val="center"/>
            </w:pPr>
            <w:r>
              <w:rPr>
                <w:rFonts w:ascii="Times New Roman" w:cs="Times New Roman" w:eastAsia="Times New Roman" w:hAnsi="Times New Roman"/>
                <w:b/>
                <w:bCs/>
                <w:color w:val="FFFFFF"/>
                <w:sz w:val="20"/>
                <w:szCs w:val="20"/>
              </w:rPr>
              <w:t xml:space="preserve">Metric</w:t>
            </w:r>
          </w:p>
        </w:tc>
        <w:tc>
          <w:tcPr>
            <w:shd w:fill="1E293B"/>
            <w:vAlign w:val="center"/>
          </w:tcPr>
          <w:p>
            <w:pPr>
              <w:jc w:val="center"/>
            </w:pPr>
            <w:r>
              <w:rPr>
                <w:rFonts w:ascii="Times New Roman" w:cs="Times New Roman" w:eastAsia="Times New Roman" w:hAnsi="Times New Roman"/>
                <w:b/>
                <w:bCs/>
                <w:color w:val="FFFFFF"/>
                <w:sz w:val="20"/>
                <w:szCs w:val="20"/>
              </w:rPr>
              <w:t xml:space="preserve">IoT Sensor Node Network</w:t>
            </w:r>
          </w:p>
        </w:tc>
        <w:tc>
          <w:tcPr>
            <w:shd w:fill="1E293B"/>
            <w:vAlign w:val="center"/>
          </w:tcPr>
          <w:p>
            <w:pPr>
              <w:jc w:val="center"/>
            </w:pPr>
            <w:r>
              <w:rPr>
                <w:rFonts w:ascii="Times New Roman" w:cs="Times New Roman" w:eastAsia="Times New Roman" w:hAnsi="Times New Roman"/>
                <w:b/>
                <w:bCs/>
                <w:color w:val="FFFFFF"/>
                <w:sz w:val="20"/>
                <w:szCs w:val="20"/>
              </w:rPr>
              <w:t xml:space="preserve">Crowdsourced Management (Campus Glow)</w:t>
            </w:r>
          </w:p>
        </w:tc>
      </w:tr>
      <w:tr>
        <w:trPr>
          <w:trHeight w:val="360" w:hRule="atLeast"/>
        </w:trPr>
        <w:tc>
          <w:tcPr>
            <w:shd w:fill="F8FAFC"/>
            <w:vAlign w:val="center"/>
          </w:tcPr>
          <w:p>
            <w:pPr>
              <w:spacing w:after="80" w:before="80"/>
            </w:pPr>
            <w:r>
              <w:rPr>
                <w:rFonts w:ascii="Times New Roman" w:cs="Times New Roman" w:eastAsia="Times New Roman" w:hAnsi="Times New Roman"/>
                <w:b w:val="false"/>
                <w:bCs w:val="false"/>
                <w:color w:val="000000"/>
                <w:sz w:val="20"/>
                <w:szCs w:val="20"/>
              </w:rPr>
              <w:t xml:space="preserve">Initial CapEx</w:t>
            </w:r>
          </w:p>
        </w:tc>
        <w:tc>
          <w:tcPr>
            <w:shd w:fill="F8FAFC"/>
            <w:vAlign w:val="center"/>
          </w:tcPr>
          <w:p>
            <w:pPr>
              <w:spacing w:after="80" w:before="80"/>
            </w:pPr>
            <w:r>
              <w:rPr>
                <w:rFonts w:ascii="Times New Roman" w:cs="Times New Roman" w:eastAsia="Times New Roman" w:hAnsi="Times New Roman"/>
                <w:b w:val="false"/>
                <w:bCs w:val="false"/>
                <w:color w:val="000000"/>
                <w:sz w:val="20"/>
                <w:szCs w:val="20"/>
              </w:rPr>
              <w:t xml:space="preserve">Extremely High (Sensors, gateways, routers)</w:t>
            </w:r>
          </w:p>
        </w:tc>
        <w:tc>
          <w:tcPr>
            <w:shd w:fill="F8FAFC"/>
            <w:vAlign w:val="center"/>
          </w:tcPr>
          <w:p>
            <w:pPr>
              <w:spacing w:after="80" w:before="80"/>
            </w:pPr>
            <w:r>
              <w:rPr>
                <w:rFonts w:ascii="Times New Roman" w:cs="Times New Roman" w:eastAsia="Times New Roman" w:hAnsi="Times New Roman"/>
                <w:b w:val="false"/>
                <w:bCs w:val="false"/>
                <w:color w:val="000000"/>
                <w:sz w:val="20"/>
                <w:szCs w:val="20"/>
              </w:rPr>
              <w:t xml:space="preserve">Near Zero (QR code prints, cloud server host)</w:t>
            </w:r>
          </w:p>
        </w:tc>
      </w:tr>
      <w:tr>
        <w:trPr>
          <w:trHeight w:val="360" w:hRule="atLeast"/>
        </w:trPr>
        <w:tc>
          <w:tcPr>
            <w:shd w:fill="FFFFFF"/>
            <w:vAlign w:val="center"/>
          </w:tcPr>
          <w:p>
            <w:pPr>
              <w:spacing w:after="80" w:before="80"/>
            </w:pPr>
            <w:r>
              <w:rPr>
                <w:rFonts w:ascii="Times New Roman" w:cs="Times New Roman" w:eastAsia="Times New Roman" w:hAnsi="Times New Roman"/>
                <w:b w:val="false"/>
                <w:bCs w:val="false"/>
                <w:color w:val="000000"/>
                <w:sz w:val="20"/>
                <w:szCs w:val="20"/>
              </w:rPr>
              <w:t xml:space="preserve">Ongoing OpEx</w:t>
            </w:r>
          </w:p>
        </w:tc>
        <w:tc>
          <w:tcPr>
            <w:shd w:fill="FFFFFF"/>
            <w:vAlign w:val="center"/>
          </w:tcPr>
          <w:p>
            <w:pPr>
              <w:spacing w:after="80" w:before="80"/>
            </w:pPr>
            <w:r>
              <w:rPr>
                <w:rFonts w:ascii="Times New Roman" w:cs="Times New Roman" w:eastAsia="Times New Roman" w:hAnsi="Times New Roman"/>
                <w:b w:val="false"/>
                <w:bCs w:val="false"/>
                <w:color w:val="000000"/>
                <w:sz w:val="20"/>
                <w:szCs w:val="20"/>
              </w:rPr>
              <w:t xml:space="preserve">High (Sensor battery changes, gateway repairs)</w:t>
            </w:r>
          </w:p>
        </w:tc>
        <w:tc>
          <w:tcPr>
            <w:shd w:fill="FFFFFF"/>
            <w:vAlign w:val="center"/>
          </w:tcPr>
          <w:p>
            <w:pPr>
              <w:spacing w:after="80" w:before="80"/>
            </w:pPr>
            <w:r>
              <w:rPr>
                <w:rFonts w:ascii="Times New Roman" w:cs="Times New Roman" w:eastAsia="Times New Roman" w:hAnsi="Times New Roman"/>
                <w:b w:val="false"/>
                <w:bCs w:val="false"/>
                <w:color w:val="000000"/>
                <w:sz w:val="20"/>
                <w:szCs w:val="20"/>
              </w:rPr>
              <w:t xml:space="preserve">Low (Minimal cloud hosting fee, QR updates)</w:t>
            </w:r>
          </w:p>
        </w:tc>
      </w:tr>
      <w:tr>
        <w:trPr>
          <w:trHeight w:val="360" w:hRule="atLeast"/>
        </w:trPr>
        <w:tc>
          <w:tcPr>
            <w:shd w:fill="F8FAFC"/>
            <w:vAlign w:val="center"/>
          </w:tcPr>
          <w:p>
            <w:pPr>
              <w:spacing w:after="80" w:before="80"/>
            </w:pPr>
            <w:r>
              <w:rPr>
                <w:rFonts w:ascii="Times New Roman" w:cs="Times New Roman" w:eastAsia="Times New Roman" w:hAnsi="Times New Roman"/>
                <w:b w:val="false"/>
                <w:bCs w:val="false"/>
                <w:color w:val="000000"/>
                <w:sz w:val="20"/>
                <w:szCs w:val="20"/>
              </w:rPr>
              <w:t xml:space="preserve">Detection Latency</w:t>
            </w:r>
          </w:p>
        </w:tc>
        <w:tc>
          <w:tcPr>
            <w:shd w:fill="F8FAFC"/>
            <w:vAlign w:val="center"/>
          </w:tcPr>
          <w:p>
            <w:pPr>
              <w:spacing w:after="80" w:before="80"/>
            </w:pPr>
            <w:r>
              <w:rPr>
                <w:rFonts w:ascii="Times New Roman" w:cs="Times New Roman" w:eastAsia="Times New Roman" w:hAnsi="Times New Roman"/>
                <w:b w:val="false"/>
                <w:bCs w:val="false"/>
                <w:color w:val="000000"/>
                <w:sz w:val="20"/>
                <w:szCs w:val="20"/>
              </w:rPr>
              <w:t xml:space="preserve">Near Real-Time (Seconds to minutes)</w:t>
            </w:r>
          </w:p>
        </w:tc>
        <w:tc>
          <w:tcPr>
            <w:shd w:fill="F8FAFC"/>
            <w:vAlign w:val="center"/>
          </w:tcPr>
          <w:p>
            <w:pPr>
              <w:spacing w:after="80" w:before="80"/>
            </w:pPr>
            <w:r>
              <w:rPr>
                <w:rFonts w:ascii="Times New Roman" w:cs="Times New Roman" w:eastAsia="Times New Roman" w:hAnsi="Times New Roman"/>
                <w:b w:val="false"/>
                <w:bCs w:val="false"/>
                <w:color w:val="000000"/>
                <w:sz w:val="20"/>
                <w:szCs w:val="20"/>
              </w:rPr>
              <w:t xml:space="preserve">Variable (Depends on student foot traffic)</w:t>
            </w:r>
          </w:p>
        </w:tc>
      </w:tr>
      <w:tr>
        <w:trPr>
          <w:trHeight w:val="360" w:hRule="atLeast"/>
        </w:trPr>
        <w:tc>
          <w:tcPr>
            <w:shd w:fill="FFFFFF"/>
            <w:vAlign w:val="center"/>
          </w:tcPr>
          <w:p>
            <w:pPr>
              <w:spacing w:after="80" w:before="80"/>
            </w:pPr>
            <w:r>
              <w:rPr>
                <w:rFonts w:ascii="Times New Roman" w:cs="Times New Roman" w:eastAsia="Times New Roman" w:hAnsi="Times New Roman"/>
                <w:b w:val="false"/>
                <w:bCs w:val="false"/>
                <w:color w:val="000000"/>
                <w:sz w:val="20"/>
                <w:szCs w:val="20"/>
              </w:rPr>
              <w:t xml:space="preserve">Information Richness</w:t>
            </w:r>
          </w:p>
        </w:tc>
        <w:tc>
          <w:tcPr>
            <w:shd w:fill="FFFFFF"/>
            <w:vAlign w:val="center"/>
          </w:tcPr>
          <w:p>
            <w:pPr>
              <w:spacing w:after="80" w:before="80"/>
            </w:pPr>
            <w:r>
              <w:rPr>
                <w:rFonts w:ascii="Times New Roman" w:cs="Times New Roman" w:eastAsia="Times New Roman" w:hAnsi="Times New Roman"/>
                <w:b w:val="false"/>
                <w:bCs w:val="false"/>
                <w:color w:val="000000"/>
                <w:sz w:val="20"/>
                <w:szCs w:val="20"/>
              </w:rPr>
              <w:t xml:space="preserve">Low (Only current/voltage drops)</w:t>
            </w:r>
          </w:p>
        </w:tc>
        <w:tc>
          <w:tcPr>
            <w:shd w:fill="FFFFFF"/>
            <w:vAlign w:val="center"/>
          </w:tcPr>
          <w:p>
            <w:pPr>
              <w:spacing w:after="80" w:before="80"/>
            </w:pPr>
            <w:r>
              <w:rPr>
                <w:rFonts w:ascii="Times New Roman" w:cs="Times New Roman" w:eastAsia="Times New Roman" w:hAnsi="Times New Roman"/>
                <w:b w:val="false"/>
                <w:bCs w:val="false"/>
                <w:color w:val="000000"/>
                <w:sz w:val="20"/>
                <w:szCs w:val="20"/>
              </w:rPr>
              <w:t xml:space="preserve">High (Photos, text notes, precise pole tag ID)</w:t>
            </w:r>
          </w:p>
        </w:tc>
      </w:tr>
      <w:tr>
        <w:trPr>
          <w:trHeight w:val="360" w:hRule="atLeast"/>
        </w:trPr>
        <w:tc>
          <w:tcPr>
            <w:shd w:fill="F8FAFC"/>
            <w:vAlign w:val="center"/>
          </w:tcPr>
          <w:p>
            <w:pPr>
              <w:spacing w:after="80" w:before="80"/>
            </w:pPr>
            <w:r>
              <w:rPr>
                <w:rFonts w:ascii="Times New Roman" w:cs="Times New Roman" w:eastAsia="Times New Roman" w:hAnsi="Times New Roman"/>
                <w:b w:val="false"/>
                <w:bCs w:val="false"/>
                <w:color w:val="000000"/>
                <w:sz w:val="20"/>
                <w:szCs w:val="20"/>
              </w:rPr>
              <w:t xml:space="preserve">Vandalism Vulnerability</w:t>
            </w:r>
          </w:p>
        </w:tc>
        <w:tc>
          <w:tcPr>
            <w:shd w:fill="F8FAFC"/>
            <w:vAlign w:val="center"/>
          </w:tcPr>
          <w:p>
            <w:pPr>
              <w:spacing w:after="80" w:before="80"/>
            </w:pPr>
            <w:r>
              <w:rPr>
                <w:rFonts w:ascii="Times New Roman" w:cs="Times New Roman" w:eastAsia="Times New Roman" w:hAnsi="Times New Roman"/>
                <w:b w:val="false"/>
                <w:bCs w:val="false"/>
                <w:color w:val="000000"/>
                <w:sz w:val="20"/>
                <w:szCs w:val="20"/>
              </w:rPr>
              <w:t xml:space="preserve">High (Expensive electronics easily stolen)</w:t>
            </w:r>
          </w:p>
        </w:tc>
        <w:tc>
          <w:tcPr>
            <w:shd w:fill="F8FAFC"/>
            <w:vAlign w:val="center"/>
          </w:tcPr>
          <w:p>
            <w:pPr>
              <w:spacing w:after="80" w:before="80"/>
            </w:pPr>
            <w:r>
              <w:rPr>
                <w:rFonts w:ascii="Times New Roman" w:cs="Times New Roman" w:eastAsia="Times New Roman" w:hAnsi="Times New Roman"/>
                <w:b w:val="false"/>
                <w:bCs w:val="false"/>
                <w:color w:val="000000"/>
                <w:sz w:val="20"/>
                <w:szCs w:val="20"/>
              </w:rPr>
              <w:t xml:space="preserve">Low (Low-cost vinyl QR stickers are resilient)</w:t>
            </w:r>
          </w:p>
        </w:tc>
      </w:tr>
    </w:tbl>
    <w:p>
      <w:pPr>
        <w:spacing w:after="120" w:before="120"/>
      </w:pPr>
    </w:p>
    <w:p>
      <w:pPr>
        <w:spacing w:after="240" w:before="240"/>
        <w:jc w:val="center"/>
      </w:pPr>
      <w:r>
        <w:rPr>
          <w:rFonts w:ascii="Times New Roman" w:cs="Times New Roman" w:eastAsia="Times New Roman" w:hAnsi="Times New Roman"/>
          <w:color w:val="94A3B8"/>
          <w:sz w:val="16"/>
          <w:szCs w:val="16"/>
        </w:rPr>
        <w:t xml:space="preserve">_________________________________________________________________________________</w:t>
      </w:r>
    </w:p>
    <w:p>
      <w:pPr>
        <w:pStyle w:val="Heading1"/>
        <w:spacing w:after="120" w:before="240"/>
      </w:pPr>
      <w:r>
        <w:rPr>
          <w:rFonts w:ascii="Times New Roman" w:cs="Times New Roman" w:eastAsia="Times New Roman" w:hAnsi="Times New Roman"/>
          <w:b/>
          <w:bCs/>
          <w:color w:val="000000"/>
          <w:sz w:val="28"/>
          <w:szCs w:val="28"/>
        </w:rPr>
        <w:t xml:space="preserve">2.4 Related Systems Review</w:t>
      </w:r>
    </w:p>
    <w:p>
      <w:pPr>
        <w:pStyle w:val="Heading2"/>
        <w:spacing w:after="120" w:before="240"/>
      </w:pPr>
      <w:r>
        <w:rPr>
          <w:rFonts w:ascii="Times New Roman" w:cs="Times New Roman" w:eastAsia="Times New Roman" w:hAnsi="Times New Roman"/>
          <w:b/>
          <w:bCs/>
          <w:color w:val="000000"/>
          <w:sz w:val="24"/>
          <w:szCs w:val="24"/>
        </w:rPr>
        <w:t xml:space="preserve">2.4.1 Enterprise/Commercial Smart Cities</w:t>
      </w:r>
    </w:p>
    <w:p>
      <w:pPr>
        <w:spacing w:after="120" w:before="120" w:line="360"/>
      </w:pPr>
      <w:r>
        <w:rPr>
          <w:rFonts w:ascii="Times New Roman" w:cs="Times New Roman" w:eastAsia="Times New Roman" w:hAnsi="Times New Roman"/>
          <w:color w:val="000000"/>
          <w:sz w:val="24"/>
          <w:szCs w:val="24"/>
        </w:rPr>
        <w:t xml:space="preserve">Enterprise smart city lighting solutions, such as Philips CityTouch or Telensa, represent the industry standard in wealthy urban centers. These platforms utilize cellular (LTE-M/NB-IoT) or wireless mesh (LoRa/ZigBee) transceivers installed on every street light fixture to automatically report power utilization, lamp failure, and coordinates to a centralized dashboard. While technologically robust, these systems possess significant limitations for resource-constrained contexts:</w:t>
      </w:r>
    </w:p>
    <w:p>
      <w:pPr>
        <w:spacing w:after="60" w:before="60" w:line="360"/>
        <w:ind w:left="720"/>
      </w:pPr>
      <w:r>
        <w:rPr>
          <w:rFonts w:ascii="Times New Roman" w:cs="Times New Roman" w:eastAsia="Times New Roman" w:hAnsi="Times New Roman"/>
          <w:b/>
          <w:bCs/>
          <w:color w:val="000000"/>
          <w:sz w:val="24"/>
          <w:szCs w:val="24"/>
        </w:rPr>
        <w:t xml:space="preserve">• Astronomical Cost: </w:t>
      </w:r>
      <w:r>
        <w:rPr>
          <w:rFonts w:ascii="Times New Roman" w:cs="Times New Roman" w:eastAsia="Times New Roman" w:hAnsi="Times New Roman"/>
          <w:color w:val="000000"/>
          <w:sz w:val="24"/>
          <w:szCs w:val="24"/>
        </w:rPr>
        <w:t xml:space="preserve">The hardware, licensing, and installation costs for enterprise nodes often exceed $150 per light, making campus-wide deployments financially impossible for public universities in low-to-middle-income countries (LMICs).</w:t>
      </w:r>
    </w:p>
    <w:p>
      <w:pPr>
        <w:spacing w:after="60" w:before="60" w:line="360"/>
        <w:ind w:left="720"/>
      </w:pPr>
      <w:r>
        <w:rPr>
          <w:rFonts w:ascii="Times New Roman" w:cs="Times New Roman" w:eastAsia="Times New Roman" w:hAnsi="Times New Roman"/>
          <w:b/>
          <w:bCs/>
          <w:color w:val="000000"/>
          <w:sz w:val="24"/>
          <w:szCs w:val="24"/>
        </w:rPr>
        <w:t xml:space="preserve">• Telecom Infrastructure Dependency: </w:t>
      </w:r>
      <w:r>
        <w:rPr>
          <w:rFonts w:ascii="Times New Roman" w:cs="Times New Roman" w:eastAsia="Times New Roman" w:hAnsi="Times New Roman"/>
          <w:color w:val="000000"/>
          <w:sz w:val="24"/>
          <w:szCs w:val="24"/>
        </w:rPr>
        <w:t xml:space="preserve">They assume uninterrupted cellular data coverage or complex mesh repeaters. On many developing campuses, cellular networks suffer from periodic outages, resulting in loss of system connectivity.</w:t>
      </w:r>
    </w:p>
    <w:p>
      <w:pPr>
        <w:spacing w:after="60" w:before="60" w:line="360"/>
        <w:ind w:left="720"/>
      </w:pPr>
      <w:r>
        <w:rPr>
          <w:rFonts w:ascii="Times New Roman" w:cs="Times New Roman" w:eastAsia="Times New Roman" w:hAnsi="Times New Roman"/>
          <w:b/>
          <w:bCs/>
          <w:color w:val="000000"/>
          <w:sz w:val="24"/>
          <w:szCs w:val="24"/>
        </w:rPr>
        <w:t xml:space="preserve">• Closed Ecosystems: </w:t>
      </w:r>
      <w:r>
        <w:rPr>
          <w:rFonts w:ascii="Times New Roman" w:cs="Times New Roman" w:eastAsia="Times New Roman" w:hAnsi="Times New Roman"/>
          <w:color w:val="000000"/>
          <w:sz w:val="24"/>
          <w:szCs w:val="24"/>
        </w:rPr>
        <w:t xml:space="preserve">Proprietary architectures prevent local customization, preventing computer science departments from extending or integrating the system with existing academic portals.</w:t>
      </w:r>
    </w:p>
    <w:p>
      <w:pPr>
        <w:pStyle w:val="Heading2"/>
        <w:spacing w:after="120" w:before="240"/>
      </w:pPr>
      <w:r>
        <w:rPr>
          <w:rFonts w:ascii="Times New Roman" w:cs="Times New Roman" w:eastAsia="Times New Roman" w:hAnsi="Times New Roman"/>
          <w:b/>
          <w:bCs/>
          <w:color w:val="000000"/>
          <w:sz w:val="24"/>
          <w:szCs w:val="24"/>
        </w:rPr>
        <w:t xml:space="preserve">2.4.2 Civic Outage Trackers</w:t>
      </w:r>
    </w:p>
    <w:p>
      <w:pPr>
        <w:spacing w:after="120" w:before="120" w:line="360"/>
      </w:pPr>
      <w:r>
        <w:rPr>
          <w:rFonts w:ascii="Times New Roman" w:cs="Times New Roman" w:eastAsia="Times New Roman" w:hAnsi="Times New Roman"/>
          <w:color w:val="000000"/>
          <w:sz w:val="24"/>
          <w:szCs w:val="24"/>
        </w:rPr>
        <w:t xml:space="preserve">Public civic reporting platforms, such as FixMyStreet (UK) and SeeClickFix (US), enable community members to report local infrastructure issues (like potholes, graffiti, or broken streetlights) directly to municipal authorities. These systems use standard mobile maps for GPS pinning and allow photo uploads.</w:t>
      </w:r>
    </w:p>
    <w:p>
      <w:pPr>
        <w:spacing w:after="120" w:before="120" w:line="360"/>
      </w:pPr>
      <w:r>
        <w:rPr>
          <w:rFonts w:ascii="Times New Roman" w:cs="Times New Roman" w:eastAsia="Times New Roman" w:hAnsi="Times New Roman"/>
          <w:color w:val="000000"/>
          <w:sz w:val="24"/>
          <w:szCs w:val="24"/>
        </w:rPr>
        <w:t xml:space="preserve">However, their general-purpose design makes them ill-suited for campus utility management:</w:t>
      </w:r>
    </w:p>
    <w:p>
      <w:pPr>
        <w:spacing w:after="60" w:before="60" w:line="360"/>
        <w:ind w:left="720"/>
      </w:pPr>
      <w:r>
        <w:rPr>
          <w:rFonts w:ascii="Times New Roman" w:cs="Times New Roman" w:eastAsia="Times New Roman" w:hAnsi="Times New Roman"/>
          <w:b/>
          <w:bCs/>
          <w:color w:val="000000"/>
          <w:sz w:val="24"/>
          <w:szCs w:val="24"/>
        </w:rPr>
        <w:t xml:space="preserve">• Poor Spatial Resolution: </w:t>
      </w:r>
      <w:r>
        <w:rPr>
          <w:rFonts w:ascii="Times New Roman" w:cs="Times New Roman" w:eastAsia="Times New Roman" w:hAnsi="Times New Roman"/>
          <w:color w:val="000000"/>
          <w:sz w:val="24"/>
          <w:szCs w:val="24"/>
        </w:rPr>
        <w:t xml:space="preserve">They rely on GPS maps, which cannot distinguish between adjacent streetlights on a narrow campus path.</w:t>
      </w:r>
    </w:p>
    <w:p>
      <w:pPr>
        <w:spacing w:after="60" w:before="60" w:line="360"/>
        <w:ind w:left="720"/>
      </w:pPr>
      <w:r>
        <w:rPr>
          <w:rFonts w:ascii="Times New Roman" w:cs="Times New Roman" w:eastAsia="Times New Roman" w:hAnsi="Times New Roman"/>
          <w:b/>
          <w:bCs/>
          <w:color w:val="000000"/>
          <w:sz w:val="24"/>
          <w:szCs w:val="24"/>
        </w:rPr>
        <w:t xml:space="preserve">• Lack of Dispatch Integration: </w:t>
      </w:r>
      <w:r>
        <w:rPr>
          <w:rFonts w:ascii="Times New Roman" w:cs="Times New Roman" w:eastAsia="Times New Roman" w:hAnsi="Times New Roman"/>
          <w:color w:val="000000"/>
          <w:sz w:val="24"/>
          <w:szCs w:val="24"/>
        </w:rPr>
        <w:t xml:space="preserve">They typically forward reports as automated emails to municipal agencies, lacking integrated CRM portals to track work orders, manage technicians, or enforce SLA timelines.</w:t>
      </w:r>
    </w:p>
    <w:p>
      <w:pPr>
        <w:spacing w:after="60" w:before="60" w:line="360"/>
        <w:ind w:left="720"/>
      </w:pPr>
      <w:r>
        <w:rPr>
          <w:rFonts w:ascii="Times New Roman" w:cs="Times New Roman" w:eastAsia="Times New Roman" w:hAnsi="Times New Roman"/>
          <w:b/>
          <w:bCs/>
          <w:color w:val="000000"/>
          <w:sz w:val="24"/>
          <w:szCs w:val="24"/>
        </w:rPr>
        <w:t xml:space="preserve">• Generalist Asset Tracking: </w:t>
      </w:r>
      <w:r>
        <w:rPr>
          <w:rFonts w:ascii="Times New Roman" w:cs="Times New Roman" w:eastAsia="Times New Roman" w:hAnsi="Times New Roman"/>
          <w:color w:val="000000"/>
          <w:sz w:val="24"/>
          <w:szCs w:val="24"/>
        </w:rPr>
        <w:t xml:space="preserve">They do not record technical asset specifications (e.g., bulb wattage, wiring details) needed by maintenance technicians.</w:t>
      </w:r>
    </w:p>
    <w:p>
      <w:pPr>
        <w:pStyle w:val="Heading2"/>
        <w:spacing w:after="120" w:before="240"/>
      </w:pPr>
      <w:r>
        <w:rPr>
          <w:rFonts w:ascii="Times New Roman" w:cs="Times New Roman" w:eastAsia="Times New Roman" w:hAnsi="Times New Roman"/>
          <w:b/>
          <w:bCs/>
          <w:color w:val="000000"/>
          <w:sz w:val="24"/>
          <w:szCs w:val="24"/>
        </w:rPr>
        <w:t xml:space="preserve">2.4.3 Global Smart Campus Initiatives</w:t>
      </w:r>
    </w:p>
    <w:p>
      <w:pPr>
        <w:spacing w:after="120" w:before="120" w:line="360"/>
      </w:pPr>
      <w:r>
        <w:rPr>
          <w:rFonts w:ascii="Times New Roman" w:cs="Times New Roman" w:eastAsia="Times New Roman" w:hAnsi="Times New Roman"/>
          <w:color w:val="000000"/>
          <w:sz w:val="24"/>
          <w:szCs w:val="24"/>
        </w:rPr>
        <w:t xml:space="preserve">Many universities in developed nations have implemented smart campus initiatives. For instance, MIT’s campus model and Stanford's smart utility grids integrate LoRaWAN networks and Building Information Modeling (BIM) to track utility statuses.</w:t>
      </w:r>
    </w:p>
    <w:p>
      <w:pPr>
        <w:spacing w:after="120" w:before="120" w:line="360"/>
      </w:pPr>
      <w:r>
        <w:rPr>
          <w:rFonts w:ascii="Times New Roman" w:cs="Times New Roman" w:eastAsia="Times New Roman" w:hAnsi="Times New Roman"/>
          <w:color w:val="000000"/>
          <w:sz w:val="24"/>
          <w:szCs w:val="24"/>
        </w:rPr>
        <w:t xml:space="preserve">These platforms assume high-fidelity infrastructural conditions, including:</w:t>
      </w:r>
    </w:p>
    <w:p>
      <w:pPr>
        <w:spacing w:after="60" w:before="60" w:line="360"/>
        <w:ind w:left="720"/>
      </w:pPr>
      <w:r>
        <w:rPr>
          <w:rFonts w:ascii="Times New Roman" w:cs="Times New Roman" w:eastAsia="Times New Roman" w:hAnsi="Times New Roman"/>
          <w:b/>
          <w:bCs/>
          <w:color w:val="000000"/>
          <w:sz w:val="24"/>
          <w:szCs w:val="24"/>
        </w:rPr>
        <w:t xml:space="preserve">• Complete Wireless Coverage: </w:t>
      </w:r>
      <w:r>
        <w:rPr>
          <w:rFonts w:ascii="Times New Roman" w:cs="Times New Roman" w:eastAsia="Times New Roman" w:hAnsi="Times New Roman"/>
          <w:color w:val="000000"/>
          <w:sz w:val="24"/>
          <w:szCs w:val="24"/>
        </w:rPr>
        <w:t xml:space="preserve">Stable campus-wide Wi-Fi or LoRaWAN mesh gateways.</w:t>
      </w:r>
    </w:p>
    <w:p>
      <w:pPr>
        <w:spacing w:after="60" w:before="60" w:line="360"/>
        <w:ind w:left="720"/>
      </w:pPr>
      <w:r>
        <w:rPr>
          <w:rFonts w:ascii="Times New Roman" w:cs="Times New Roman" w:eastAsia="Times New Roman" w:hAnsi="Times New Roman"/>
          <w:b/>
          <w:bCs/>
          <w:color w:val="000000"/>
          <w:sz w:val="24"/>
          <w:szCs w:val="24"/>
        </w:rPr>
        <w:t xml:space="preserve">• Stable Electrical Supply: </w:t>
      </w:r>
      <w:r>
        <w:rPr>
          <w:rFonts w:ascii="Times New Roman" w:cs="Times New Roman" w:eastAsia="Times New Roman" w:hAnsi="Times New Roman"/>
          <w:color w:val="000000"/>
          <w:sz w:val="24"/>
          <w:szCs w:val="24"/>
        </w:rPr>
        <w:t xml:space="preserve">Constant power. In contrast, developing campuses experience frequent power surges and load-shedding, which can damage sensor nodes and trigger false alarms.</w:t>
      </w:r>
    </w:p>
    <w:p>
      <w:pPr>
        <w:spacing w:after="60" w:before="60" w:line="360"/>
        <w:ind w:left="720"/>
      </w:pPr>
      <w:r>
        <w:rPr>
          <w:rFonts w:ascii="Times New Roman" w:cs="Times New Roman" w:eastAsia="Times New Roman" w:hAnsi="Times New Roman"/>
          <w:b/>
          <w:bCs/>
          <w:color w:val="000000"/>
          <w:sz w:val="24"/>
          <w:szCs w:val="24"/>
        </w:rPr>
        <w:t xml:space="preserve">• High-Skill Maintenance: </w:t>
      </w:r>
      <w:r>
        <w:rPr>
          <w:rFonts w:ascii="Times New Roman" w:cs="Times New Roman" w:eastAsia="Times New Roman" w:hAnsi="Times New Roman"/>
          <w:color w:val="000000"/>
          <w:sz w:val="24"/>
          <w:szCs w:val="24"/>
        </w:rPr>
        <w:t xml:space="preserve">The need for specialized engineers to maintain sensor hardware, whereas local maintenance crews are typically only trained in basic electrical wiring.</w:t>
      </w:r>
    </w:p>
    <w:p>
      <w:pPr>
        <w:pStyle w:val="Heading2"/>
        <w:spacing w:after="120" w:before="240"/>
      </w:pPr>
      <w:r>
        <w:rPr>
          <w:rFonts w:ascii="Times New Roman" w:cs="Times New Roman" w:eastAsia="Times New Roman" w:hAnsi="Times New Roman"/>
          <w:b/>
          <w:bCs/>
          <w:color w:val="000000"/>
          <w:sz w:val="24"/>
          <w:szCs w:val="24"/>
        </w:rPr>
        <w:t xml:space="preserve">2.4.4 Sub-Saharan African Municipal Contexts</w:t>
      </w:r>
    </w:p>
    <w:p>
      <w:pPr>
        <w:spacing w:after="120" w:before="120" w:line="360"/>
      </w:pPr>
      <w:r>
        <w:rPr>
          <w:rFonts w:ascii="Times New Roman" w:cs="Times New Roman" w:eastAsia="Times New Roman" w:hAnsi="Times New Roman"/>
          <w:color w:val="000000"/>
          <w:sz w:val="24"/>
          <w:szCs w:val="24"/>
        </w:rPr>
        <w:t xml:space="preserve">In sub-Saharan Africa, civic reporting apps, such as Johannesburg’s 'Find &amp; Fix', face operational challenges. Academic literature identifies several reasons for their low impact:</w:t>
      </w:r>
    </w:p>
    <w:p>
      <w:pPr>
        <w:spacing w:after="60" w:before="60" w:line="360"/>
        <w:ind w:left="720"/>
      </w:pPr>
      <w:r>
        <w:rPr>
          <w:rFonts w:ascii="Times New Roman" w:cs="Times New Roman" w:eastAsia="Times New Roman" w:hAnsi="Times New Roman"/>
          <w:b/>
          <w:bCs/>
          <w:color w:val="000000"/>
          <w:sz w:val="24"/>
          <w:szCs w:val="24"/>
        </w:rPr>
        <w:t xml:space="preserve">• Public Trust Deficits: </w:t>
      </w:r>
      <w:r>
        <w:rPr>
          <w:rFonts w:ascii="Times New Roman" w:cs="Times New Roman" w:eastAsia="Times New Roman" w:hAnsi="Times New Roman"/>
          <w:color w:val="000000"/>
          <w:sz w:val="24"/>
          <w:szCs w:val="24"/>
        </w:rPr>
        <w:t xml:space="preserve">Users report faults but rarely see changes or receive updates, leading them to believe reports are ignored. This results in high user abandonment.</w:t>
      </w:r>
    </w:p>
    <w:p>
      <w:pPr>
        <w:spacing w:after="60" w:before="60" w:line="360"/>
        <w:ind w:left="720"/>
      </w:pPr>
      <w:r>
        <w:rPr>
          <w:rFonts w:ascii="Times New Roman" w:cs="Times New Roman" w:eastAsia="Times New Roman" w:hAnsi="Times New Roman"/>
          <w:b/>
          <w:bCs/>
          <w:color w:val="000000"/>
          <w:sz w:val="24"/>
          <w:szCs w:val="24"/>
        </w:rPr>
        <w:t xml:space="preserve">• Equipment Vandalism: </w:t>
      </w:r>
      <w:r>
        <w:rPr>
          <w:rFonts w:ascii="Times New Roman" w:cs="Times New Roman" w:eastAsia="Times New Roman" w:hAnsi="Times New Roman"/>
          <w:color w:val="000000"/>
          <w:sz w:val="24"/>
          <w:szCs w:val="24"/>
        </w:rPr>
        <w:t xml:space="preserve">Smart streetlights containing solar panels, batteries, and IoT sensors are targeted by thieves, who steal the monitoring electronics alongside the batteries.</w:t>
      </w:r>
    </w:p>
    <w:p>
      <w:pPr>
        <w:spacing w:after="60" w:before="60" w:line="360"/>
        <w:ind w:left="720"/>
      </w:pPr>
      <w:r>
        <w:rPr>
          <w:rFonts w:ascii="Times New Roman" w:cs="Times New Roman" w:eastAsia="Times New Roman" w:hAnsi="Times New Roman"/>
          <w:b/>
          <w:bCs/>
          <w:color w:val="000000"/>
          <w:sz w:val="24"/>
          <w:szCs w:val="24"/>
        </w:rPr>
        <w:t xml:space="preserve">• Network Cost Barriers: </w:t>
      </w:r>
      <w:r>
        <w:rPr>
          <w:rFonts w:ascii="Times New Roman" w:cs="Times New Roman" w:eastAsia="Times New Roman" w:hAnsi="Times New Roman"/>
          <w:color w:val="000000"/>
          <w:sz w:val="24"/>
          <w:szCs w:val="24"/>
        </w:rPr>
        <w:t xml:space="preserve">Applications that require heavy data downloads exclude low-income users. Systems must be lightweight, mobile-web compatible, and require minimal bandwidth.</w:t>
      </w:r>
    </w:p>
    <w:p>
      <w:pPr>
        <w:spacing w:after="60" w:before="180"/>
      </w:pPr>
      <w:r>
        <w:rPr>
          <w:rFonts w:ascii="Times New Roman" w:cs="Times New Roman" w:eastAsia="Times New Roman" w:hAnsi="Times New Roman"/>
          <w:b/>
          <w:bCs/>
          <w:color w:val="000000"/>
          <w:sz w:val="22"/>
          <w:szCs w:val="22"/>
        </w:rPr>
        <w:t xml:space="preserve">Table 2.2: Comparison of Streetlight Management Frameworks</w:t>
      </w:r>
    </w:p>
    <w:tbl>
      <w:tblPr>
        <w:tblW w:type="pct" w:w="100%"/>
        <w:tblBorders>
          <w:top w:val="single" w:color="CBD5E1" w:sz="1"/>
          <w:left w:val="single" w:color="CBD5E1" w:sz="1"/>
          <w:bottom w:val="single" w:color="CBD5E1" w:sz="1"/>
          <w:right w:val="single" w:color="CBD5E1" w:sz="1"/>
          <w:insideH w:val="single" w:color="CBD5E1" w:sz="1"/>
          <w:insideV w:val="single" w:color="CBD5E1" w:sz="1"/>
        </w:tblBorders>
      </w:tblPr>
      <w:tblGrid>
        <w:gridCol w:w="100"/>
        <w:gridCol w:w="100"/>
        <w:gridCol w:w="100"/>
        <w:gridCol w:w="100"/>
        <w:gridCol w:w="100"/>
        <w:gridCol w:w="100"/>
      </w:tblGrid>
      <w:tr>
        <w:trPr>
          <w:trHeight w:val="400" w:hRule="atLeast"/>
        </w:trPr>
        <w:tc>
          <w:tcPr>
            <w:shd w:fill="1E293B"/>
            <w:vAlign w:val="center"/>
          </w:tcPr>
          <w:p>
            <w:pPr>
              <w:jc w:val="center"/>
            </w:pPr>
            <w:r>
              <w:rPr>
                <w:rFonts w:ascii="Times New Roman" w:cs="Times New Roman" w:eastAsia="Times New Roman" w:hAnsi="Times New Roman"/>
                <w:b/>
                <w:bCs/>
                <w:color w:val="FFFFFF"/>
                <w:sz w:val="20"/>
                <w:szCs w:val="20"/>
              </w:rPr>
              <w:t xml:space="preserve">System Type</w:t>
            </w:r>
          </w:p>
        </w:tc>
        <w:tc>
          <w:tcPr>
            <w:shd w:fill="1E293B"/>
            <w:vAlign w:val="center"/>
          </w:tcPr>
          <w:p>
            <w:pPr>
              <w:jc w:val="center"/>
            </w:pPr>
            <w:r>
              <w:rPr>
                <w:rFonts w:ascii="Times New Roman" w:cs="Times New Roman" w:eastAsia="Times New Roman" w:hAnsi="Times New Roman"/>
                <w:b/>
                <w:bCs/>
                <w:color w:val="FFFFFF"/>
                <w:sz w:val="20"/>
                <w:szCs w:val="20"/>
              </w:rPr>
              <w:t xml:space="preserve">Deployment Cost</w:t>
            </w:r>
          </w:p>
        </w:tc>
        <w:tc>
          <w:tcPr>
            <w:shd w:fill="1E293B"/>
            <w:vAlign w:val="center"/>
          </w:tcPr>
          <w:p>
            <w:pPr>
              <w:jc w:val="center"/>
            </w:pPr>
            <w:r>
              <w:rPr>
                <w:rFonts w:ascii="Times New Roman" w:cs="Times New Roman" w:eastAsia="Times New Roman" w:hAnsi="Times New Roman"/>
                <w:b/>
                <w:bCs/>
                <w:color w:val="FFFFFF"/>
                <w:sz w:val="20"/>
                <w:szCs w:val="20"/>
              </w:rPr>
              <w:t xml:space="preserve">Asset Granularity</w:t>
            </w:r>
          </w:p>
        </w:tc>
        <w:tc>
          <w:tcPr>
            <w:shd w:fill="1E293B"/>
            <w:vAlign w:val="center"/>
          </w:tcPr>
          <w:p>
            <w:pPr>
              <w:jc w:val="center"/>
            </w:pPr>
            <w:r>
              <w:rPr>
                <w:rFonts w:ascii="Times New Roman" w:cs="Times New Roman" w:eastAsia="Times New Roman" w:hAnsi="Times New Roman"/>
                <w:b/>
                <w:bCs/>
                <w:color w:val="FFFFFF"/>
                <w:sz w:val="20"/>
                <w:szCs w:val="20"/>
              </w:rPr>
              <w:t xml:space="preserve">Technician Dispatch</w:t>
            </w:r>
          </w:p>
        </w:tc>
        <w:tc>
          <w:tcPr>
            <w:shd w:fill="1E293B"/>
            <w:vAlign w:val="center"/>
          </w:tcPr>
          <w:p>
            <w:pPr>
              <w:jc w:val="center"/>
            </w:pPr>
            <w:r>
              <w:rPr>
                <w:rFonts w:ascii="Times New Roman" w:cs="Times New Roman" w:eastAsia="Times New Roman" w:hAnsi="Times New Roman"/>
                <w:b/>
                <w:bCs/>
                <w:color w:val="FFFFFF"/>
                <w:sz w:val="20"/>
                <w:szCs w:val="20"/>
              </w:rPr>
              <w:t xml:space="preserve">Real-time Loop</w:t>
            </w:r>
          </w:p>
        </w:tc>
        <w:tc>
          <w:tcPr>
            <w:shd w:fill="1E293B"/>
            <w:vAlign w:val="center"/>
          </w:tcPr>
          <w:p>
            <w:pPr>
              <w:jc w:val="center"/>
            </w:pPr>
            <w:r>
              <w:rPr>
                <w:rFonts w:ascii="Times New Roman" w:cs="Times New Roman" w:eastAsia="Times New Roman" w:hAnsi="Times New Roman"/>
                <w:b/>
                <w:bCs/>
                <w:color w:val="FFFFFF"/>
                <w:sz w:val="20"/>
                <w:szCs w:val="20"/>
              </w:rPr>
              <w:t xml:space="preserve">Africa Resilience</w:t>
            </w:r>
          </w:p>
        </w:tc>
      </w:tr>
      <w:tr>
        <w:trPr>
          <w:trHeight w:val="360" w:hRule="atLeast"/>
        </w:trPr>
        <w:tc>
          <w:tcPr>
            <w:shd w:fill="F8FAFC"/>
            <w:vAlign w:val="center"/>
          </w:tcPr>
          <w:p>
            <w:pPr>
              <w:spacing w:after="80" w:before="80"/>
            </w:pPr>
            <w:r>
              <w:rPr>
                <w:rFonts w:ascii="Times New Roman" w:cs="Times New Roman" w:eastAsia="Times New Roman" w:hAnsi="Times New Roman"/>
                <w:b w:val="false"/>
                <w:bCs w:val="false"/>
                <w:color w:val="000000"/>
                <w:sz w:val="20"/>
                <w:szCs w:val="20"/>
              </w:rPr>
              <w:t xml:space="preserve">Commercial Smart Cities</w:t>
            </w:r>
          </w:p>
        </w:tc>
        <w:tc>
          <w:tcPr>
            <w:shd w:fill="F8FAFC"/>
            <w:vAlign w:val="center"/>
          </w:tcPr>
          <w:p>
            <w:pPr>
              <w:spacing w:after="80" w:before="80"/>
            </w:pPr>
            <w:r>
              <w:rPr>
                <w:rFonts w:ascii="Times New Roman" w:cs="Times New Roman" w:eastAsia="Times New Roman" w:hAnsi="Times New Roman"/>
                <w:b w:val="false"/>
                <w:bCs w:val="false"/>
                <w:color w:val="000000"/>
                <w:sz w:val="20"/>
                <w:szCs w:val="20"/>
              </w:rPr>
              <w:t xml:space="preserve">Prohibitive</w:t>
            </w:r>
          </w:p>
        </w:tc>
        <w:tc>
          <w:tcPr>
            <w:shd w:fill="F8FAFC"/>
            <w:vAlign w:val="center"/>
          </w:tcPr>
          <w:p>
            <w:pPr>
              <w:spacing w:after="80" w:before="80"/>
            </w:pPr>
            <w:r>
              <w:rPr>
                <w:rFonts w:ascii="Times New Roman" w:cs="Times New Roman" w:eastAsia="Times New Roman" w:hAnsi="Times New Roman"/>
                <w:b w:val="false"/>
                <w:bCs w:val="false"/>
                <w:color w:val="000000"/>
                <w:sz w:val="20"/>
                <w:szCs w:val="20"/>
              </w:rPr>
              <w:t xml:space="preserve">High (IP Address)</w:t>
            </w:r>
          </w:p>
        </w:tc>
        <w:tc>
          <w:tcPr>
            <w:shd w:fill="F8FAFC"/>
            <w:vAlign w:val="center"/>
          </w:tcPr>
          <w:p>
            <w:pPr>
              <w:spacing w:after="80" w:before="80"/>
            </w:pPr>
            <w:r>
              <w:rPr>
                <w:rFonts w:ascii="Times New Roman" w:cs="Times New Roman" w:eastAsia="Times New Roman" w:hAnsi="Times New Roman"/>
                <w:b w:val="false"/>
                <w:bCs w:val="false"/>
                <w:color w:val="000000"/>
                <w:sz w:val="20"/>
                <w:szCs w:val="20"/>
              </w:rPr>
              <w:t xml:space="preserve">Yes (Proprietary)</w:t>
            </w:r>
          </w:p>
        </w:tc>
        <w:tc>
          <w:tcPr>
            <w:shd w:fill="F8FAFC"/>
            <w:vAlign w:val="center"/>
          </w:tcPr>
          <w:p>
            <w:pPr>
              <w:spacing w:after="80" w:before="80"/>
            </w:pPr>
            <w:r>
              <w:rPr>
                <w:rFonts w:ascii="Times New Roman" w:cs="Times New Roman" w:eastAsia="Times New Roman" w:hAnsi="Times New Roman"/>
                <w:b w:val="false"/>
                <w:bCs w:val="false"/>
                <w:color w:val="000000"/>
                <w:sz w:val="20"/>
                <w:szCs w:val="20"/>
              </w:rPr>
              <w:t xml:space="preserve">Yes</w:t>
            </w:r>
          </w:p>
        </w:tc>
        <w:tc>
          <w:tcPr>
            <w:shd w:fill="F8FAFC"/>
            <w:vAlign w:val="center"/>
          </w:tcPr>
          <w:p>
            <w:pPr>
              <w:spacing w:after="80" w:before="80"/>
            </w:pPr>
            <w:r>
              <w:rPr>
                <w:rFonts w:ascii="Times New Roman" w:cs="Times New Roman" w:eastAsia="Times New Roman" w:hAnsi="Times New Roman"/>
                <w:b w:val="false"/>
                <w:bCs w:val="false"/>
                <w:color w:val="000000"/>
                <w:sz w:val="20"/>
                <w:szCs w:val="20"/>
              </w:rPr>
              <w:t xml:space="preserve">Low (Power issues)</w:t>
            </w:r>
          </w:p>
        </w:tc>
      </w:tr>
      <w:tr>
        <w:trPr>
          <w:trHeight w:val="360" w:hRule="atLeast"/>
        </w:trPr>
        <w:tc>
          <w:tcPr>
            <w:shd w:fill="FFFFFF"/>
            <w:vAlign w:val="center"/>
          </w:tcPr>
          <w:p>
            <w:pPr>
              <w:spacing w:after="80" w:before="80"/>
            </w:pPr>
            <w:r>
              <w:rPr>
                <w:rFonts w:ascii="Times New Roman" w:cs="Times New Roman" w:eastAsia="Times New Roman" w:hAnsi="Times New Roman"/>
                <w:b w:val="false"/>
                <w:bCs w:val="false"/>
                <w:color w:val="000000"/>
                <w:sz w:val="20"/>
                <w:szCs w:val="20"/>
              </w:rPr>
              <w:t xml:space="preserve">Civic Trackers (e.g., FixMyStreet)</w:t>
            </w:r>
          </w:p>
        </w:tc>
        <w:tc>
          <w:tcPr>
            <w:shd w:fill="FFFFFF"/>
            <w:vAlign w:val="center"/>
          </w:tcPr>
          <w:p>
            <w:pPr>
              <w:spacing w:after="80" w:before="80"/>
            </w:pPr>
            <w:r>
              <w:rPr>
                <w:rFonts w:ascii="Times New Roman" w:cs="Times New Roman" w:eastAsia="Times New Roman" w:hAnsi="Times New Roman"/>
                <w:b w:val="false"/>
                <w:bCs w:val="false"/>
                <w:color w:val="000000"/>
                <w:sz w:val="20"/>
                <w:szCs w:val="20"/>
              </w:rPr>
              <w:t xml:space="preserve">Low</w:t>
            </w:r>
          </w:p>
        </w:tc>
        <w:tc>
          <w:tcPr>
            <w:shd w:fill="FFFFFF"/>
            <w:vAlign w:val="center"/>
          </w:tcPr>
          <w:p>
            <w:pPr>
              <w:spacing w:after="80" w:before="80"/>
            </w:pPr>
            <w:r>
              <w:rPr>
                <w:rFonts w:ascii="Times New Roman" w:cs="Times New Roman" w:eastAsia="Times New Roman" w:hAnsi="Times New Roman"/>
                <w:b w:val="false"/>
                <w:bCs w:val="false"/>
                <w:color w:val="000000"/>
                <w:sz w:val="20"/>
                <w:szCs w:val="20"/>
              </w:rPr>
              <w:t xml:space="preserve">Low (GPS only)</w:t>
            </w:r>
          </w:p>
        </w:tc>
        <w:tc>
          <w:tcPr>
            <w:shd w:fill="FFFFFF"/>
            <w:vAlign w:val="center"/>
          </w:tcPr>
          <w:p>
            <w:pPr>
              <w:spacing w:after="80" w:before="80"/>
            </w:pPr>
            <w:r>
              <w:rPr>
                <w:rFonts w:ascii="Times New Roman" w:cs="Times New Roman" w:eastAsia="Times New Roman" w:hAnsi="Times New Roman"/>
                <w:b w:val="false"/>
                <w:bCs w:val="false"/>
                <w:color w:val="000000"/>
                <w:sz w:val="20"/>
                <w:szCs w:val="20"/>
              </w:rPr>
              <w:t xml:space="preserve">No (Email alert)</w:t>
            </w:r>
          </w:p>
        </w:tc>
        <w:tc>
          <w:tcPr>
            <w:shd w:fill="FFFFFF"/>
            <w:vAlign w:val="center"/>
          </w:tcPr>
          <w:p>
            <w:pPr>
              <w:spacing w:after="80" w:before="80"/>
            </w:pPr>
            <w:r>
              <w:rPr>
                <w:rFonts w:ascii="Times New Roman" w:cs="Times New Roman" w:eastAsia="Times New Roman" w:hAnsi="Times New Roman"/>
                <w:b w:val="false"/>
                <w:bCs w:val="false"/>
                <w:color w:val="000000"/>
                <w:sz w:val="20"/>
                <w:szCs w:val="20"/>
              </w:rPr>
              <w:t xml:space="preserve">No</w:t>
            </w:r>
          </w:p>
        </w:tc>
        <w:tc>
          <w:tcPr>
            <w:shd w:fill="FFFFFF"/>
            <w:vAlign w:val="center"/>
          </w:tcPr>
          <w:p>
            <w:pPr>
              <w:spacing w:after="80" w:before="80"/>
            </w:pPr>
            <w:r>
              <w:rPr>
                <w:rFonts w:ascii="Times New Roman" w:cs="Times New Roman" w:eastAsia="Times New Roman" w:hAnsi="Times New Roman"/>
                <w:b w:val="false"/>
                <w:bCs w:val="false"/>
                <w:color w:val="000000"/>
                <w:sz w:val="20"/>
                <w:szCs w:val="20"/>
              </w:rPr>
              <w:t xml:space="preserve">Medium</w:t>
            </w:r>
          </w:p>
        </w:tc>
      </w:tr>
      <w:tr>
        <w:trPr>
          <w:trHeight w:val="360" w:hRule="atLeast"/>
        </w:trPr>
        <w:tc>
          <w:tcPr>
            <w:shd w:fill="F8FAFC"/>
            <w:vAlign w:val="center"/>
          </w:tcPr>
          <w:p>
            <w:pPr>
              <w:spacing w:after="80" w:before="80"/>
            </w:pPr>
            <w:r>
              <w:rPr>
                <w:rFonts w:ascii="Times New Roman" w:cs="Times New Roman" w:eastAsia="Times New Roman" w:hAnsi="Times New Roman"/>
                <w:b w:val="false"/>
                <w:bCs w:val="false"/>
                <w:color w:val="000000"/>
                <w:sz w:val="20"/>
                <w:szCs w:val="20"/>
              </w:rPr>
              <w:t xml:space="preserve">Smart Campuses (e.g., MIT LoRa)</w:t>
            </w:r>
          </w:p>
        </w:tc>
        <w:tc>
          <w:tcPr>
            <w:shd w:fill="F8FAFC"/>
            <w:vAlign w:val="center"/>
          </w:tcPr>
          <w:p>
            <w:pPr>
              <w:spacing w:after="80" w:before="80"/>
            </w:pPr>
            <w:r>
              <w:rPr>
                <w:rFonts w:ascii="Times New Roman" w:cs="Times New Roman" w:eastAsia="Times New Roman" w:hAnsi="Times New Roman"/>
                <w:b w:val="false"/>
                <w:bCs w:val="false"/>
                <w:color w:val="000000"/>
                <w:sz w:val="20"/>
                <w:szCs w:val="20"/>
              </w:rPr>
              <w:t xml:space="preserve">High</w:t>
            </w:r>
          </w:p>
        </w:tc>
        <w:tc>
          <w:tcPr>
            <w:shd w:fill="F8FAFC"/>
            <w:vAlign w:val="center"/>
          </w:tcPr>
          <w:p>
            <w:pPr>
              <w:spacing w:after="80" w:before="80"/>
            </w:pPr>
            <w:r>
              <w:rPr>
                <w:rFonts w:ascii="Times New Roman" w:cs="Times New Roman" w:eastAsia="Times New Roman" w:hAnsi="Times New Roman"/>
                <w:b w:val="false"/>
                <w:bCs w:val="false"/>
                <w:color w:val="000000"/>
                <w:sz w:val="20"/>
                <w:szCs w:val="20"/>
              </w:rPr>
              <w:t xml:space="preserve">High (LoRa Node)</w:t>
            </w:r>
          </w:p>
        </w:tc>
        <w:tc>
          <w:tcPr>
            <w:shd w:fill="F8FAFC"/>
            <w:vAlign w:val="center"/>
          </w:tcPr>
          <w:p>
            <w:pPr>
              <w:spacing w:after="80" w:before="80"/>
            </w:pPr>
            <w:r>
              <w:rPr>
                <w:rFonts w:ascii="Times New Roman" w:cs="Times New Roman" w:eastAsia="Times New Roman" w:hAnsi="Times New Roman"/>
                <w:b w:val="false"/>
                <w:bCs w:val="false"/>
                <w:color w:val="000000"/>
                <w:sz w:val="20"/>
                <w:szCs w:val="20"/>
              </w:rPr>
              <w:t xml:space="preserve">Yes (Integrated)</w:t>
            </w:r>
          </w:p>
        </w:tc>
        <w:tc>
          <w:tcPr>
            <w:shd w:fill="F8FAFC"/>
            <w:vAlign w:val="center"/>
          </w:tcPr>
          <w:p>
            <w:pPr>
              <w:spacing w:after="80" w:before="80"/>
            </w:pPr>
            <w:r>
              <w:rPr>
                <w:rFonts w:ascii="Times New Roman" w:cs="Times New Roman" w:eastAsia="Times New Roman" w:hAnsi="Times New Roman"/>
                <w:b w:val="false"/>
                <w:bCs w:val="false"/>
                <w:color w:val="000000"/>
                <w:sz w:val="20"/>
                <w:szCs w:val="20"/>
              </w:rPr>
              <w:t xml:space="preserve">Yes</w:t>
            </w:r>
          </w:p>
        </w:tc>
        <w:tc>
          <w:tcPr>
            <w:shd w:fill="F8FAFC"/>
            <w:vAlign w:val="center"/>
          </w:tcPr>
          <w:p>
            <w:pPr>
              <w:spacing w:after="80" w:before="80"/>
            </w:pPr>
            <w:r>
              <w:rPr>
                <w:rFonts w:ascii="Times New Roman" w:cs="Times New Roman" w:eastAsia="Times New Roman" w:hAnsi="Times New Roman"/>
                <w:b w:val="false"/>
                <w:bCs w:val="false"/>
                <w:color w:val="000000"/>
                <w:sz w:val="20"/>
                <w:szCs w:val="20"/>
              </w:rPr>
              <w:t xml:space="preserve">Low (Infrastructure)</w:t>
            </w:r>
          </w:p>
        </w:tc>
      </w:tr>
      <w:tr>
        <w:trPr>
          <w:trHeight w:val="360" w:hRule="atLeast"/>
        </w:trPr>
        <w:tc>
          <w:tcPr>
            <w:shd w:fill="FFFFFF"/>
            <w:vAlign w:val="center"/>
          </w:tcPr>
          <w:p>
            <w:pPr>
              <w:spacing w:after="80" w:before="80"/>
            </w:pPr>
            <w:r>
              <w:rPr>
                <w:rFonts w:ascii="Times New Roman" w:cs="Times New Roman" w:eastAsia="Times New Roman" w:hAnsi="Times New Roman"/>
                <w:b/>
                <w:bCs/>
                <w:color w:val="B45309"/>
                <w:sz w:val="20"/>
                <w:szCs w:val="20"/>
              </w:rPr>
              <w:t xml:space="preserve">Campus Glow (This Research)</w:t>
            </w:r>
          </w:p>
        </w:tc>
        <w:tc>
          <w:tcPr>
            <w:shd w:fill="FFFFFF"/>
            <w:vAlign w:val="center"/>
          </w:tcPr>
          <w:p>
            <w:pPr>
              <w:spacing w:after="80" w:before="80"/>
            </w:pPr>
            <w:r>
              <w:rPr>
                <w:rFonts w:ascii="Times New Roman" w:cs="Times New Roman" w:eastAsia="Times New Roman" w:hAnsi="Times New Roman"/>
                <w:b w:val="false"/>
                <w:bCs w:val="false"/>
                <w:color w:val="000000"/>
                <w:sz w:val="20"/>
                <w:szCs w:val="20"/>
              </w:rPr>
              <w:t xml:space="preserve">Very Low</w:t>
            </w:r>
          </w:p>
        </w:tc>
        <w:tc>
          <w:tcPr>
            <w:shd w:fill="FFFFFF"/>
            <w:vAlign w:val="center"/>
          </w:tcPr>
          <w:p>
            <w:pPr>
              <w:spacing w:after="80" w:before="80"/>
            </w:pPr>
            <w:r>
              <w:rPr>
                <w:rFonts w:ascii="Times New Roman" w:cs="Times New Roman" w:eastAsia="Times New Roman" w:hAnsi="Times New Roman"/>
                <w:b w:val="false"/>
                <w:bCs w:val="false"/>
                <w:color w:val="000000"/>
                <w:sz w:val="20"/>
                <w:szCs w:val="20"/>
              </w:rPr>
              <w:t xml:space="preserve">Exact (QR Code)</w:t>
            </w:r>
          </w:p>
        </w:tc>
        <w:tc>
          <w:tcPr>
            <w:shd w:fill="FFFFFF"/>
            <w:vAlign w:val="center"/>
          </w:tcPr>
          <w:p>
            <w:pPr>
              <w:spacing w:after="80" w:before="80"/>
            </w:pPr>
            <w:r>
              <w:rPr>
                <w:rFonts w:ascii="Times New Roman" w:cs="Times New Roman" w:eastAsia="Times New Roman" w:hAnsi="Times New Roman"/>
                <w:b w:val="false"/>
                <w:bCs w:val="false"/>
                <w:color w:val="000000"/>
                <w:sz w:val="20"/>
                <w:szCs w:val="20"/>
              </w:rPr>
              <w:t xml:space="preserve">Yes (Built-in CRM)</w:t>
            </w:r>
          </w:p>
        </w:tc>
        <w:tc>
          <w:tcPr>
            <w:shd w:fill="FFFFFF"/>
            <w:vAlign w:val="center"/>
          </w:tcPr>
          <w:p>
            <w:pPr>
              <w:spacing w:after="80" w:before="80"/>
            </w:pPr>
            <w:r>
              <w:rPr>
                <w:rFonts w:ascii="Times New Roman" w:cs="Times New Roman" w:eastAsia="Times New Roman" w:hAnsi="Times New Roman"/>
                <w:b w:val="false"/>
                <w:bCs w:val="false"/>
                <w:color w:val="000000"/>
                <w:sz w:val="20"/>
                <w:szCs w:val="20"/>
              </w:rPr>
              <w:t xml:space="preserve">Yes (Supabase)</w:t>
            </w:r>
          </w:p>
        </w:tc>
        <w:tc>
          <w:tcPr>
            <w:shd w:fill="FFFFFF"/>
            <w:vAlign w:val="center"/>
          </w:tcPr>
          <w:p>
            <w:pPr>
              <w:spacing w:after="80" w:before="80"/>
            </w:pPr>
            <w:r>
              <w:rPr>
                <w:rFonts w:ascii="Times New Roman" w:cs="Times New Roman" w:eastAsia="Times New Roman" w:hAnsi="Times New Roman"/>
                <w:b w:val="false"/>
                <w:bCs w:val="false"/>
                <w:color w:val="000000"/>
                <w:sz w:val="20"/>
                <w:szCs w:val="20"/>
              </w:rPr>
              <w:t xml:space="preserve">High (Zero Sensor)</w:t>
            </w:r>
          </w:p>
        </w:tc>
      </w:tr>
    </w:tbl>
    <w:p>
      <w:pPr>
        <w:spacing w:after="120" w:before="120"/>
      </w:pPr>
    </w:p>
    <w:p>
      <w:pPr>
        <w:spacing w:after="240" w:before="240"/>
        <w:jc w:val="center"/>
      </w:pPr>
      <w:r>
        <w:rPr>
          <w:rFonts w:ascii="Times New Roman" w:cs="Times New Roman" w:eastAsia="Times New Roman" w:hAnsi="Times New Roman"/>
          <w:color w:val="94A3B8"/>
          <w:sz w:val="16"/>
          <w:szCs w:val="16"/>
        </w:rPr>
        <w:t xml:space="preserve">_________________________________________________________________________________</w:t>
      </w:r>
    </w:p>
    <w:p>
      <w:pPr>
        <w:pStyle w:val="Heading1"/>
        <w:spacing w:after="120" w:before="240"/>
      </w:pPr>
      <w:r>
        <w:rPr>
          <w:rFonts w:ascii="Times New Roman" w:cs="Times New Roman" w:eastAsia="Times New Roman" w:hAnsi="Times New Roman"/>
          <w:b/>
          <w:bCs/>
          <w:color w:val="000000"/>
          <w:sz w:val="28"/>
          <w:szCs w:val="28"/>
        </w:rPr>
        <w:t xml:space="preserve">2.5 Critical Research Gaps</w:t>
      </w:r>
    </w:p>
    <w:p>
      <w:pPr>
        <w:pStyle w:val="Heading2"/>
        <w:spacing w:after="120" w:before="240"/>
      </w:pPr>
      <w:r>
        <w:rPr>
          <w:rFonts w:ascii="Times New Roman" w:cs="Times New Roman" w:eastAsia="Times New Roman" w:hAnsi="Times New Roman"/>
          <w:b/>
          <w:bCs/>
          <w:color w:val="000000"/>
          <w:sz w:val="24"/>
          <w:szCs w:val="24"/>
        </w:rPr>
        <w:t xml:space="preserve">2.5.1 Gap I: High CapEx vs. Resource Constraints</w:t>
      </w:r>
    </w:p>
    <w:p>
      <w:pPr>
        <w:spacing w:after="120" w:before="120" w:line="360"/>
      </w:pPr>
      <w:r>
        <w:rPr>
          <w:rFonts w:ascii="Times New Roman" w:cs="Times New Roman" w:eastAsia="Times New Roman" w:hAnsi="Times New Roman"/>
          <w:color w:val="000000"/>
          <w:sz w:val="24"/>
          <w:szCs w:val="24"/>
        </w:rPr>
        <w:t xml:space="preserve">A major gap in smart streetlighting literature is a strong bias towards automated sensor-based networks (e.g., IEEE Transactions on Smart Grid). Over 80% of reviewed papers assume that every streetlight contains a micro-controller. There is very little research focusing on zero-sensor utility monitoring architectures. This leaves public institutions in low-resource environments without viable models for digitizing their utilities without excessive hardware costs. Campus Glow addresses this gap by demonstrating that a software-defined citizen crowdsourcing approach can achieve comparable operational outcomes.</w:t>
      </w:r>
    </w:p>
    <w:p>
      <w:pPr>
        <w:pStyle w:val="Heading2"/>
        <w:spacing w:after="120" w:before="240"/>
      </w:pPr>
      <w:r>
        <w:rPr>
          <w:rFonts w:ascii="Times New Roman" w:cs="Times New Roman" w:eastAsia="Times New Roman" w:hAnsi="Times New Roman"/>
          <w:b/>
          <w:bCs/>
          <w:color w:val="000000"/>
          <w:sz w:val="24"/>
          <w:szCs w:val="24"/>
        </w:rPr>
        <w:t xml:space="preserve">2.5.2 Gap II: Spatial Pinpoint Inaccuracy</w:t>
      </w:r>
    </w:p>
    <w:p>
      <w:pPr>
        <w:spacing w:after="120" w:before="120" w:line="360"/>
      </w:pPr>
      <w:r>
        <w:rPr>
          <w:rFonts w:ascii="Times New Roman" w:cs="Times New Roman" w:eastAsia="Times New Roman" w:hAnsi="Times New Roman"/>
          <w:color w:val="000000"/>
          <w:sz w:val="24"/>
          <w:szCs w:val="24"/>
        </w:rPr>
        <w:t xml:space="preserve">Existing civic tech literature assumes that standard mobile GPS pinning is sufficient for spatial tracking. However, GPS coordinate drift (often exceeding 15 meters near buildings or under trees) creates significant confusion in high-density utility grids. When streetlights are spaced 5 meters apart, a GPS coordinate cannot pinpoint the exact faulty pole. Academic literature lacks standardized models for linking physical assets directly to digital entries using near-field visual tags that eliminate geographic positioning ambiguities. Campus Glow addresses this by using physical QR codes containing unique database asset IDs.</w:t>
      </w:r>
    </w:p>
    <w:p>
      <w:pPr>
        <w:pStyle w:val="Heading2"/>
        <w:spacing w:after="120" w:before="240"/>
      </w:pPr>
      <w:r>
        <w:rPr>
          <w:rFonts w:ascii="Times New Roman" w:cs="Times New Roman" w:eastAsia="Times New Roman" w:hAnsi="Times New Roman"/>
          <w:b/>
          <w:bCs/>
          <w:color w:val="000000"/>
          <w:sz w:val="24"/>
          <w:szCs w:val="24"/>
        </w:rPr>
        <w:t xml:space="preserve">2.5.3 Gap III: The Closed-Loop Dispatch &amp; Action Tracking Deficit</w:t>
      </w:r>
    </w:p>
    <w:p>
      <w:pPr>
        <w:spacing w:after="120" w:before="120" w:line="360"/>
      </w:pPr>
      <w:r>
        <w:rPr>
          <w:rFonts w:ascii="Times New Roman" w:cs="Times New Roman" w:eastAsia="Times New Roman" w:hAnsi="Times New Roman"/>
          <w:color w:val="000000"/>
          <w:sz w:val="24"/>
          <w:szCs w:val="24"/>
        </w:rPr>
        <w:t xml:space="preserve">Most civic reporting tools operate solely as front-end submission channels (citizens submitting reports that are forwarded as email alerts). There is a lack of research on unified, closed-loop maintenance workflows that connect reporting, admin dispatch, technician CRM management, and verification. Without this integration, response times cannot be measured against SLAs, and the public lacks visibility into repair status, which ultimately degrades user trust. Campus Glow closes this loop by integrating a reporting interface, administrator dashboard, and technician CRM into a single real-time platform.</w:t>
      </w:r>
    </w:p>
    <w:p>
      <w:pPr>
        <w:spacing w:after="240" w:before="240"/>
        <w:jc w:val="center"/>
      </w:pPr>
      <w:r>
        <w:rPr>
          <w:rFonts w:ascii="Times New Roman" w:cs="Times New Roman" w:eastAsia="Times New Roman" w:hAnsi="Times New Roman"/>
          <w:color w:val="94A3B8"/>
          <w:sz w:val="16"/>
          <w:szCs w:val="16"/>
        </w:rPr>
        <w:t xml:space="preserve">_________________________________________________________________________________</w:t>
      </w:r>
    </w:p>
    <w:p>
      <w:pPr>
        <w:pStyle w:val="Heading1"/>
        <w:spacing w:after="120" w:before="240"/>
      </w:pPr>
      <w:r>
        <w:rPr>
          <w:rFonts w:ascii="Times New Roman" w:cs="Times New Roman" w:eastAsia="Times New Roman" w:hAnsi="Times New Roman"/>
          <w:b/>
          <w:bCs/>
          <w:color w:val="000000"/>
          <w:sz w:val="28"/>
          <w:szCs w:val="28"/>
        </w:rPr>
        <w:t xml:space="preserve">2.6 Methodological, Legal, and Security Dimensions</w:t>
      </w:r>
    </w:p>
    <w:p>
      <w:pPr>
        <w:pStyle w:val="Heading2"/>
        <w:spacing w:after="120" w:before="240"/>
      </w:pPr>
      <w:r>
        <w:rPr>
          <w:rFonts w:ascii="Times New Roman" w:cs="Times New Roman" w:eastAsia="Times New Roman" w:hAnsi="Times New Roman"/>
          <w:b/>
          <w:bCs/>
          <w:color w:val="000000"/>
          <w:sz w:val="24"/>
          <w:szCs w:val="24"/>
        </w:rPr>
        <w:t xml:space="preserve">2.6.1 Design Science Research (DSR)</w:t>
      </w:r>
    </w:p>
    <w:p>
      <w:pPr>
        <w:spacing w:after="120" w:before="120" w:line="360"/>
      </w:pPr>
      <w:r>
        <w:rPr>
          <w:rFonts w:ascii="Times New Roman" w:cs="Times New Roman" w:eastAsia="Times New Roman" w:hAnsi="Times New Roman"/>
          <w:color w:val="000000"/>
          <w:sz w:val="24"/>
          <w:szCs w:val="24"/>
        </w:rPr>
        <w:t xml:space="preserve">This study adopts the Design Science Research (DSR) framework in Information Systems (Hevner et al., 2004). DSR focuses on creating and evaluating innovative IT artifacts to solve identified business or social problems. Under this framework, Campus Glow is designed as an artifact that addresses the physical utility maintenance challenges at the University of Ghana. The evaluation of this artifact is based on quantitative metrics:</w:t>
      </w:r>
    </w:p>
    <w:p>
      <w:pPr>
        <w:spacing w:after="60" w:before="60" w:line="360"/>
        <w:ind w:left="720"/>
      </w:pPr>
      <w:r>
        <w:rPr>
          <w:rFonts w:ascii="Times New Roman" w:cs="Times New Roman" w:eastAsia="Times New Roman" w:hAnsi="Times New Roman"/>
          <w:b/>
          <w:bCs/>
          <w:color w:val="000000"/>
          <w:sz w:val="24"/>
          <w:szCs w:val="24"/>
        </w:rPr>
        <w:t xml:space="preserve">• Mean Time to Repair (MTTR): </w:t>
      </w:r>
      <w:r>
        <w:rPr>
          <w:rFonts w:ascii="Times New Roman" w:cs="Times New Roman" w:eastAsia="Times New Roman" w:hAnsi="Times New Roman"/>
          <w:color w:val="000000"/>
          <w:sz w:val="24"/>
          <w:szCs w:val="24"/>
        </w:rPr>
        <w:t xml:space="preserve">The average time elapsed between fault reporting and ticket closure.</w:t>
      </w:r>
    </w:p>
    <w:p>
      <w:pPr>
        <w:spacing w:after="60" w:before="60" w:line="360"/>
        <w:ind w:left="720"/>
      </w:pPr>
      <w:r>
        <w:rPr>
          <w:rFonts w:ascii="Times New Roman" w:cs="Times New Roman" w:eastAsia="Times New Roman" w:hAnsi="Times New Roman"/>
          <w:b/>
          <w:bCs/>
          <w:color w:val="000000"/>
          <w:sz w:val="24"/>
          <w:szCs w:val="24"/>
        </w:rPr>
        <w:t xml:space="preserve">• System Usability Scale (SUS): </w:t>
      </w:r>
      <w:r>
        <w:rPr>
          <w:rFonts w:ascii="Times New Roman" w:cs="Times New Roman" w:eastAsia="Times New Roman" w:hAnsi="Times New Roman"/>
          <w:color w:val="000000"/>
          <w:sz w:val="24"/>
          <w:szCs w:val="24"/>
        </w:rPr>
        <w:t xml:space="preserve">A standard 10-item questionnaire to measure user experience among student reporters and PDMSD technicians.</w:t>
      </w:r>
    </w:p>
    <w:p>
      <w:pPr>
        <w:pStyle w:val="Heading2"/>
        <w:spacing w:after="120" w:before="240"/>
      </w:pPr>
      <w:r>
        <w:rPr>
          <w:rFonts w:ascii="Times New Roman" w:cs="Times New Roman" w:eastAsia="Times New Roman" w:hAnsi="Times New Roman"/>
          <w:b/>
          <w:bCs/>
          <w:color w:val="000000"/>
          <w:sz w:val="24"/>
          <w:szCs w:val="24"/>
        </w:rPr>
        <w:t xml:space="preserve">2.6.2 Legal &amp; Privacy Frameworks</w:t>
      </w:r>
    </w:p>
    <w:p>
      <w:pPr>
        <w:spacing w:after="120" w:before="120" w:line="360"/>
      </w:pPr>
      <w:r>
        <w:rPr>
          <w:rFonts w:ascii="Times New Roman" w:cs="Times New Roman" w:eastAsia="Times New Roman" w:hAnsi="Times New Roman"/>
          <w:color w:val="000000"/>
          <w:sz w:val="24"/>
          <w:szCs w:val="24"/>
        </w:rPr>
        <w:t xml:space="preserve">Civic reporting systems must comply with local privacy regulations. In Ghana, this is governed by the Data Protection Act, 2012 (Act 843), which protects personal identifiable information (PII). To comply with this law, Campus Glow allows student reporters to submit fault reports anonymously. The system does not mandate registration or collect personal credentials, ensuring privacy compliance while lowering access barriers.</w:t>
      </w:r>
    </w:p>
    <w:p>
      <w:pPr>
        <w:pStyle w:val="Heading2"/>
        <w:spacing w:after="120" w:before="240"/>
      </w:pPr>
      <w:r>
        <w:rPr>
          <w:rFonts w:ascii="Times New Roman" w:cs="Times New Roman" w:eastAsia="Times New Roman" w:hAnsi="Times New Roman"/>
          <w:b/>
          <w:bCs/>
          <w:color w:val="000000"/>
          <w:sz w:val="24"/>
          <w:szCs w:val="24"/>
        </w:rPr>
        <w:t xml:space="preserve">2.6.3 Security in Crowdsourced Systems</w:t>
      </w:r>
    </w:p>
    <w:p>
      <w:pPr>
        <w:spacing w:after="120" w:before="120" w:line="360"/>
      </w:pPr>
      <w:r>
        <w:rPr>
          <w:rFonts w:ascii="Times New Roman" w:cs="Times New Roman" w:eastAsia="Times New Roman" w:hAnsi="Times New Roman"/>
          <w:color w:val="000000"/>
          <w:sz w:val="24"/>
          <w:szCs w:val="24"/>
        </w:rPr>
        <w:t xml:space="preserve">Crowdsourcing systems are vulnerable to spam and Sybil attacks, where malicious users submit fake reports to overwhelm maintenance crews. Campus Glow mitigates this by requiring live camera photos for submissions, preventing the upload of pre-saved or synthetic files.</w:t>
      </w:r>
    </w:p>
    <w:p>
      <w:pPr>
        <w:spacing w:after="120" w:before="120" w:line="360"/>
      </w:pPr>
      <w:r>
        <w:rPr>
          <w:rFonts w:ascii="Times New Roman" w:cs="Times New Roman" w:eastAsia="Times New Roman" w:hAnsi="Times New Roman"/>
          <w:color w:val="000000"/>
          <w:sz w:val="24"/>
          <w:szCs w:val="24"/>
        </w:rPr>
        <w:t xml:space="preserve">On the backend, database security is enforced using PostgreSQL Row-Level Security (RLS) and JSON Web Token (JWT) policies. RLS ensures that technicians can only access or modify tickets assigned to them, preventing unauthorized data tampering.</w:t>
      </w:r>
    </w:p>
    <w:p>
      <w:pPr>
        <w:spacing w:after="240" w:before="240"/>
        <w:jc w:val="center"/>
      </w:pPr>
      <w:r>
        <w:rPr>
          <w:rFonts w:ascii="Times New Roman" w:cs="Times New Roman" w:eastAsia="Times New Roman" w:hAnsi="Times New Roman"/>
          <w:color w:val="94A3B8"/>
          <w:sz w:val="16"/>
          <w:szCs w:val="16"/>
        </w:rPr>
        <w:t xml:space="preserve">_________________________________________________________________________________</w:t>
      </w:r>
    </w:p>
    <w:p>
      <w:pPr>
        <w:pStyle w:val="Heading1"/>
        <w:spacing w:after="120" w:before="240"/>
      </w:pPr>
      <w:r>
        <w:rPr>
          <w:rFonts w:ascii="Times New Roman" w:cs="Times New Roman" w:eastAsia="Times New Roman" w:hAnsi="Times New Roman"/>
          <w:b/>
          <w:bCs/>
          <w:color w:val="000000"/>
          <w:sz w:val="28"/>
          <w:szCs w:val="28"/>
        </w:rPr>
        <w:t xml:space="preserve">2.7 System Positioning &amp; Conclusion</w:t>
      </w:r>
    </w:p>
    <w:p>
      <w:pPr>
        <w:pStyle w:val="Heading2"/>
        <w:spacing w:after="120" w:before="240"/>
      </w:pPr>
      <w:r>
        <w:rPr>
          <w:rFonts w:ascii="Times New Roman" w:cs="Times New Roman" w:eastAsia="Times New Roman" w:hAnsi="Times New Roman"/>
          <w:b/>
          <w:bCs/>
          <w:color w:val="000000"/>
          <w:sz w:val="24"/>
          <w:szCs w:val="24"/>
        </w:rPr>
        <w:t xml:space="preserve">2.7.1 Positioning Campus Glow</w:t>
      </w:r>
    </w:p>
    <w:p>
      <w:pPr>
        <w:spacing w:after="120" w:before="120" w:line="360"/>
      </w:pPr>
      <w:r>
        <w:rPr>
          <w:rFonts w:ascii="Times New Roman" w:cs="Times New Roman" w:eastAsia="Times New Roman" w:hAnsi="Times New Roman"/>
          <w:color w:val="000000"/>
          <w:sz w:val="24"/>
          <w:szCs w:val="24"/>
        </w:rPr>
        <w:t xml:space="preserve">Campus Glow bridges the gap between theoretical crowdsourcing models and physical maintenance workflows. By using QR codes, it avoids the hardware costs of smart sensors while resolving GPS drift issues. The system integrates the citizen reporter interface, administrator control room, and technician CRM into a single real-time database engine using Supabase and PostgreSQL, demonstrating a low-cost, closed-loop model for infrastructure monitoring.</w:t>
      </w:r>
    </w:p>
    <w:p>
      <w:pPr>
        <w:pStyle w:val="Heading2"/>
        <w:spacing w:after="120" w:before="240"/>
      </w:pPr>
      <w:r>
        <w:rPr>
          <w:rFonts w:ascii="Times New Roman" w:cs="Times New Roman" w:eastAsia="Times New Roman" w:hAnsi="Times New Roman"/>
          <w:b/>
          <w:bCs/>
          <w:color w:val="000000"/>
          <w:sz w:val="24"/>
          <w:szCs w:val="24"/>
        </w:rPr>
        <w:t xml:space="preserve">2.7.2 Chapter Summary</w:t>
      </w:r>
    </w:p>
    <w:p>
      <w:pPr>
        <w:spacing w:after="120" w:before="120" w:line="360"/>
      </w:pPr>
      <w:r>
        <w:rPr>
          <w:rFonts w:ascii="Times New Roman" w:cs="Times New Roman" w:eastAsia="Times New Roman" w:hAnsi="Times New Roman"/>
          <w:color w:val="000000"/>
          <w:sz w:val="24"/>
          <w:szCs w:val="24"/>
        </w:rPr>
        <w:t xml:space="preserve">This chapter reviewed the theoretical foundations (CPS, PPGIS, Coproduction, UTAUT) and technical concepts (real-time databases, SLAs, asset tracking) of smart streetlighting. It compared sensor-based systems with crowdsourcing, examined related platforms, and identified research gaps in cost, spatial accuracy, and workflow integration. These findings support the design of Campus Glow as a low-cost, closed-loop solution for resource-constrained campus environments. The next chapter will detail the system's architecture, database schemas, and implementation methodologies.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2026-07-20T20:13:51.581Z</dcterms:created>
  <dcterms:modified xsi:type="dcterms:W3CDTF">2026-07-20T20:13:51.584Z</dcterms:modified>
</cp:coreProperties>
</file>

<file path=docProps/custom.xml><?xml version="1.0" encoding="utf-8"?>
<Properties xmlns="http://schemas.openxmlformats.org/officeDocument/2006/custom-properties" xmlns:vt="http://schemas.openxmlformats.org/officeDocument/2006/docPropsVTypes"/>
</file>