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S2</w:t>
      </w:r>
      <w:r>
        <w:t xml:space="preserve"> </w:t>
      </w:r>
      <w:r>
        <w:t xml:space="preserve">Text.</w:t>
      </w:r>
      <w:r>
        <w:t xml:space="preserve"> </w:t>
      </w:r>
      <w:r>
        <w:t xml:space="preserve">Reporting</w:t>
      </w:r>
      <w:r>
        <w:t xml:space="preserve"> </w:t>
      </w:r>
      <w:r>
        <w:t xml:space="preserve">checklists:</w:t>
      </w:r>
      <w:r>
        <w:t xml:space="preserve"> </w:t>
      </w:r>
      <w:r>
        <w:t xml:space="preserve">STROBE</w:t>
      </w:r>
      <w:r>
        <w:t xml:space="preserve"> </w:t>
      </w:r>
      <w:r>
        <w:t xml:space="preserve">(observational</w:t>
      </w:r>
      <w:r>
        <w:t xml:space="preserve"> </w:t>
      </w:r>
      <w:r>
        <w:t xml:space="preserve">cohort)</w:t>
      </w:r>
      <w:r>
        <w:t xml:space="preserve"> </w:t>
      </w:r>
      <w:r>
        <w:t xml:space="preserve">and</w:t>
      </w:r>
      <w:r>
        <w:t xml:space="preserve"> </w:t>
      </w:r>
      <w:r>
        <w:t xml:space="preserve">STARD</w:t>
      </w:r>
      <w:r>
        <w:t xml:space="preserve"> </w:t>
      </w:r>
      <w:r>
        <w:t xml:space="preserve">2015</w:t>
      </w:r>
      <w:r>
        <w:t xml:space="preserve"> </w:t>
      </w:r>
      <w:r>
        <w:t xml:space="preserve">(OS</w:t>
      </w:r>
      <w:r>
        <w:t xml:space="preserve"> </w:t>
      </w:r>
      <w:r>
        <w:t xml:space="preserve">thresholds</w:t>
      </w:r>
      <w:r>
        <w:t xml:space="preserve"> </w:t>
      </w:r>
      <w:r>
        <w:t xml:space="preserve">as</w:t>
      </w:r>
      <w:r>
        <w:t xml:space="preserve"> </w:t>
      </w:r>
      <w:r>
        <w:t xml:space="preserve">tests</w:t>
      </w:r>
      <w:r>
        <w:t xml:space="preserve"> </w:t>
      </w:r>
      <w:r>
        <w:t xml:space="preserve">for</w:t>
      </w:r>
      <w:r>
        <w:t xml:space="preserve"> </w:t>
      </w:r>
      <w:r>
        <w:t xml:space="preserve">platinum</w:t>
      </w:r>
      <w:r>
        <w:t xml:space="preserve"> </w:t>
      </w:r>
      <w:r>
        <w:t xml:space="preserve">resistance)</w:t>
      </w:r>
    </w:p>
    <w:p>
      <w:pPr>
        <w:pStyle w:val="FirstParagraph"/>
      </w:pPr>
      <w:r>
        <w:t xml:space="preserve">This study is a secondary analysis of publicly available TCGA data. STROBE is used for the study as a whole. STARD 2015 is applied to the one component that is a diagnostic-accuracy analysis: overall-survival (OS) thresholds (index test) evaluated against TCGA platinum status (reference standard).</w:t>
      </w:r>
      <w:r>
        <w:t xml:space="preserve"> </w:t>
      </w:r>
      <w:r>
        <w:t xml:space="preserve">“</w:t>
      </w:r>
      <w:r>
        <w:t xml:space="preserve">Methods: X</w:t>
      </w:r>
      <w:r>
        <w:t xml:space="preserve">”</w:t>
      </w:r>
      <w:r>
        <w:t xml:space="preserve"> </w:t>
      </w:r>
      <w:r>
        <w:t xml:space="preserve">refers to the subsection of the manuscript with that heading. Items that are not reported, or reported only in part, are marked as such.</w:t>
      </w:r>
    </w:p>
    <w:p>
      <w:pPr>
        <w:pStyle w:val="Heading1"/>
      </w:pPr>
      <w:bookmarkStart w:id="20" w:name="strobe-checklist"/>
      <w:r>
        <w:t xml:space="preserve">STROBE checklist</w:t>
      </w:r>
      <w:bookmarkEnd w:id="2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p>
            <w:pPr>
              <w:pStyle w:val="Compact"/>
              <w:jc w:val="left"/>
            </w:pPr>
            <w:r>
              <w:t xml:space="preserve">Indicate the study’s design in the title or abstract</w:t>
            </w:r>
          </w:p>
        </w:tc>
        <w:tc>
          <w:p>
            <w:pPr>
              <w:pStyle w:val="Compact"/>
              <w:jc w:val="left"/>
            </w:pPr>
            <w:r>
              <w:t xml:space="preserve">Abstract (analysis of 489 platinum-treated TCGA-OV patients); Methods: Data and cohort (</w:t>
            </w:r>
            <w:r>
              <w:t xml:space="preserve">“</w:t>
            </w:r>
            <w:r>
              <w:t xml:space="preserve">secondary analysis of publicly available data</w:t>
            </w:r>
            <w:r>
              <w:t xml:space="preserve">”</w:t>
            </w:r>
            <w:r>
              <w:t xml:space="preserve">). The title does not name the design.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p>
            <w:pPr>
              <w:pStyle w:val="Compact"/>
              <w:jc w:val="left"/>
            </w:pPr>
            <w:r>
              <w:t xml:space="preserve">Informative, balanced summary in the abstract</w:t>
            </w:r>
          </w:p>
        </w:tc>
        <w:tc>
          <w:p>
            <w:pPr>
              <w:pStyle w:val="Compact"/>
              <w:jc w:val="left"/>
            </w:pPr>
            <w:r>
              <w:t xml:space="preserve">Abstract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p>
            <w:pPr>
              <w:pStyle w:val="Compact"/>
              <w:jc w:val="left"/>
            </w:pPr>
            <w:r>
              <w:t xml:space="preserve">Introduction, paragraphs 1–3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Objectives, including pre-specified hypotheses</w:t>
            </w:r>
          </w:p>
        </w:tc>
        <w:tc>
          <w:p>
            <w:pPr>
              <w:pStyle w:val="Compact"/>
              <w:jc w:val="left"/>
            </w:pPr>
            <w:r>
              <w:t xml:space="preserve">Introduction, final paragraph; pre-specified predictions in S1 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Key elements of study design</w:t>
            </w:r>
          </w:p>
        </w:tc>
        <w:tc>
          <w:p>
            <w:pPr>
              <w:pStyle w:val="Compact"/>
              <w:jc w:val="left"/>
            </w:pPr>
            <w:r>
              <w:t xml:space="preserve">Methods: Data and cohort; Methods: Pre-specification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Setting, locations, periods of recruitment, follow-up, data collection</w:t>
            </w:r>
          </w:p>
        </w:tc>
        <w:tc>
          <w:p>
            <w:pPr>
              <w:pStyle w:val="Compact"/>
              <w:jc w:val="left"/>
            </w:pPr>
            <w:r>
              <w:t xml:space="preserve">Methods: Data and cohort; TCGA 2011 [1] for recruitment and follow-up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6a</w:t>
            </w:r>
          </w:p>
        </w:tc>
        <w:tc>
          <w:p>
            <w:pPr>
              <w:pStyle w:val="Compact"/>
              <w:jc w:val="left"/>
            </w:pPr>
            <w:r>
              <w:t xml:space="preserve">Eligibility criteria, sources and methods of selection, follow-up</w:t>
            </w:r>
          </w:p>
        </w:tc>
        <w:tc>
          <w:p>
            <w:pPr>
              <w:pStyle w:val="Compact"/>
              <w:jc w:val="left"/>
            </w:pPr>
            <w:r>
              <w:t xml:space="preserve">Methods: Data and cohort (platinum agent recorded in the treatment timeline); S4 Table (cohort flow)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p>
            <w:pPr>
              <w:pStyle w:val="Compact"/>
              <w:jc w:val="left"/>
            </w:pPr>
            <w:r>
              <w:t xml:space="preserve">Methods: Labels; Methods: Associations with characteristics linked to platinum response and prognosis; Table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Data sources and measurement for each variable</w:t>
            </w:r>
          </w:p>
        </w:tc>
        <w:tc>
          <w:p>
            <w:pPr>
              <w:pStyle w:val="Compact"/>
              <w:jc w:val="left"/>
            </w:pPr>
            <w:r>
              <w:t xml:space="preserve">Methods: Data and cohort; Methods: Labels; Methods: Associations with characteristics linked to platinum response and prognosis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p>
            <w:pPr>
              <w:pStyle w:val="Compact"/>
              <w:jc w:val="left"/>
            </w:pPr>
            <w:r>
              <w:t xml:space="preserve">Methods: Coverage and agreement (bounds for missing reference standard); Results (redaction and residual-coding sensitivity analyses); Limitations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p>
            <w:pPr>
              <w:pStyle w:val="Compact"/>
              <w:jc w:val="left"/>
            </w:pPr>
            <w:r>
              <w:t xml:space="preserve">Fixed by the public cohort; Methods: Data and cohort. No sample-size calculation; minimum detectable differences are reported (S3 Table).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Handling of quantitative variables</w:t>
            </w:r>
          </w:p>
        </w:tc>
        <w:tc>
          <w:p>
            <w:pPr>
              <w:pStyle w:val="Compact"/>
              <w:jc w:val="left"/>
            </w:pPr>
            <w:r>
              <w:t xml:space="preserve">Methods: Associations with characteristics linked to platinum response and prognosis (rank-based tests; age per 10 years and Aneuploidy Score per SD in the exploratory Cox models)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p>
            <w:pPr>
              <w:pStyle w:val="Compact"/>
              <w:jc w:val="left"/>
            </w:pPr>
            <w:r>
              <w:t xml:space="preserve">All statistical methods, including those for confounding</w:t>
            </w:r>
          </w:p>
        </w:tc>
        <w:tc>
          <w:p>
            <w:pPr>
              <w:pStyle w:val="Compact"/>
              <w:jc w:val="left"/>
            </w:pPr>
            <w:r>
              <w:t xml:space="preserve">Methods: Coverage and agreement; Associations with characteristics; Classifiers; Exploratory analyses. These association analyses are univariable, with no adjustment for confounding (the aim is label comparison); the exploratory clinical-only model is a multivariable logistic regression.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p>
            <w:pPr>
              <w:pStyle w:val="Compact"/>
              <w:jc w:val="left"/>
            </w:pPr>
            <w:r>
              <w:t xml:space="preserve">Same-patient comparisons (Methods: Associations with characteristics linked to platinum response and prognosis); no interaction analyses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12c</w:t>
            </w:r>
          </w:p>
        </w:tc>
        <w:tc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p>
            <w:pPr>
              <w:pStyle w:val="Compact"/>
              <w:jc w:val="left"/>
            </w:pPr>
            <w:r>
              <w:t xml:space="preserve">Labels: undetermined patients excluded from each label; Methods: Coverage and agreement (bounds); Results: patients without a platinum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12d</w:t>
            </w:r>
          </w:p>
        </w:tc>
        <w:tc>
          <w:p>
            <w:pPr>
              <w:pStyle w:val="Compact"/>
              <w:jc w:val="left"/>
            </w:pPr>
            <w:r>
              <w:t xml:space="preserve">Loss to follow-up</w:t>
            </w:r>
          </w:p>
        </w:tc>
        <w:tc>
          <w:p>
            <w:pPr>
              <w:pStyle w:val="Compact"/>
              <w:jc w:val="left"/>
            </w:pPr>
            <w:r>
              <w:t xml:space="preserve">OS thresholds exclude patients censored before the threshold (Methods: Labels); inverse-probability-of-censoring-weighted sensitivity analysis (Methods: Coverage and agreement; S1 Text, A19); Limitations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12e</w:t>
            </w:r>
          </w:p>
        </w:tc>
        <w:tc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p>
            <w:pPr>
              <w:pStyle w:val="Compact"/>
              <w:jc w:val="left"/>
            </w:pPr>
            <w:r>
              <w:t xml:space="preserve">Threshold sweep (6–60 months); combined reference label; exclusion of redacted TCGA-CDR records; any-vs-no residual coding; alternative carrier definitions (S3 Table); treatment-anchor alternatives (A18); IPCW (A19); decomposition restricted to patients at risk (A13b)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p>
            <w:pPr>
              <w:pStyle w:val="Compact"/>
              <w:jc w:val="left"/>
            </w:pPr>
            <w:r>
              <w:t xml:space="preserve">Methods: Data and cohort; Results (coverage); Table 2; S4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13b</w:t>
            </w:r>
          </w:p>
        </w:tc>
        <w:tc>
          <w:p>
            <w:pPr>
              <w:pStyle w:val="Compact"/>
              <w:jc w:val="left"/>
            </w:pPr>
            <w:r>
              <w:t xml:space="preserve">Reasons for non-participation</w:t>
            </w:r>
          </w:p>
        </w:tc>
        <w:tc>
          <w:p>
            <w:pPr>
              <w:pStyle w:val="Compact"/>
              <w:jc w:val="left"/>
            </w:pPr>
            <w:r>
              <w:t xml:space="preserve">Methods: Data and cohort (no treatment record; no carboplatin/cisplatin)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13c</w:t>
            </w:r>
          </w:p>
        </w:tc>
        <w:tc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p>
            <w:pPr>
              <w:pStyle w:val="Compact"/>
              <w:jc w:val="left"/>
            </w:pPr>
            <w:r>
              <w:t xml:space="preserve">Not provided as a figure; flow given in text and S4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14a</w:t>
            </w:r>
          </w:p>
        </w:tc>
        <w:tc>
          <w:p>
            <w:pPr>
              <w:pStyle w:val="Compact"/>
              <w:jc w:val="left"/>
            </w:pPr>
            <w:r>
              <w:t xml:space="preserve">Characteristics of participants</w:t>
            </w:r>
          </w:p>
        </w:tc>
        <w:tc>
          <w:p>
            <w:pPr>
              <w:pStyle w:val="Compact"/>
              <w:jc w:val="left"/>
            </w:pPr>
            <w:r>
              <w:t xml:space="preserve">S4 Table (A14: age, stage, residual disease, Aneuploidy Score, sequencing and</w:t>
            </w:r>
            <w:r>
              <w:t xml:space="preserve"> </w:t>
            </w:r>
            <w:r>
              <w:rPr>
                <w:i/>
              </w:rPr>
              <w:t xml:space="preserve">BRCA1/2</w:t>
            </w:r>
            <w:r>
              <w:t xml:space="preserve"> </w:t>
            </w:r>
            <w:r>
              <w:t xml:space="preserve">status, for the cohort and the RNA-seq subset)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14b</w:t>
            </w:r>
          </w:p>
        </w:tc>
        <w:tc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p>
            <w:pPr>
              <w:pStyle w:val="Compact"/>
              <w:jc w:val="left"/>
            </w:pPr>
            <w:r>
              <w:t xml:space="preserve">S4 Table (denominators); Table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14c</w:t>
            </w:r>
          </w:p>
        </w:tc>
        <w:tc>
          <w:p>
            <w:pPr>
              <w:pStyle w:val="Compact"/>
              <w:jc w:val="left"/>
            </w:pPr>
            <w:r>
              <w:t xml:space="preserve">Summarise follow-up time</w:t>
            </w:r>
          </w:p>
        </w:tc>
        <w:tc>
          <w:p>
            <w:pPr>
              <w:pStyle w:val="Compact"/>
              <w:jc w:val="left"/>
            </w:pPr>
            <w:r>
              <w:t xml:space="preserve">Not reported separately; OS medians by group in Results and S4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Numbers of outcome events</w:t>
            </w:r>
          </w:p>
        </w:tc>
        <w:tc>
          <w:p>
            <w:pPr>
              <w:pStyle w:val="Compact"/>
              <w:jc w:val="left"/>
            </w:pPr>
            <w:r>
              <w:t xml:space="preserve">Table 2 (non-responders per label)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16a</w:t>
            </w:r>
          </w:p>
        </w:tc>
        <w:tc>
          <w:p>
            <w:pPr>
              <w:pStyle w:val="Compact"/>
              <w:jc w:val="left"/>
            </w:pPr>
            <w:r>
              <w:t xml:space="preserve">Unadjusted estimates with precision</w:t>
            </w:r>
          </w:p>
        </w:tc>
        <w:tc>
          <w:p>
            <w:pPr>
              <w:pStyle w:val="Compact"/>
              <w:jc w:val="left"/>
            </w:pPr>
            <w:r>
              <w:t xml:space="preserve">Results; Tables 2–3; Figs 1–4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16b</w:t>
            </w:r>
          </w:p>
        </w:tc>
        <w:tc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p>
            <w:pPr>
              <w:pStyle w:val="Compact"/>
              <w:jc w:val="left"/>
            </w:pPr>
            <w:r>
              <w:t xml:space="preserve">Methods: Labels (183 days; 18 and 24 months; 6–60 months)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16c</w:t>
            </w:r>
          </w:p>
        </w:tc>
        <w:tc>
          <w:p>
            <w:pPr>
              <w:pStyle w:val="Compact"/>
              <w:jc w:val="left"/>
            </w:pPr>
            <w:r>
              <w:t xml:space="preserve">Absolute risk</w:t>
            </w:r>
          </w:p>
        </w:tc>
        <w:tc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p>
            <w:pPr>
              <w:pStyle w:val="Compact"/>
              <w:jc w:val="left"/>
            </w:pPr>
            <w:r>
              <w:t xml:space="preserve">Results: exploratory section; Supporting information (S1–S2 Fig, S6–S11 Tables)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p>
            <w:pPr>
              <w:pStyle w:val="Compact"/>
              <w:jc w:val="left"/>
            </w:pPr>
            <w:r>
              <w:t xml:space="preserve">Discussion, paragraph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Cautious interpretation</w:t>
            </w:r>
          </w:p>
        </w:tc>
        <w:tc>
          <w:p>
            <w:pPr>
              <w:pStyle w:val="Compact"/>
              <w:jc w:val="left"/>
            </w:pPr>
            <w:r>
              <w:t xml:space="preserve">Discussion; Conclusion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p>
            <w:pPr>
              <w:pStyle w:val="Compact"/>
              <w:jc w:val="left"/>
            </w:pPr>
            <w:r>
              <w:t xml:space="preserve">Limitations (single resource)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p>
            <w:pPr>
              <w:pStyle w:val="Compact"/>
              <w:jc w:val="left"/>
            </w:pPr>
            <w:r>
              <w:t xml:space="preserve">Funding (submission form)</w:t>
            </w:r>
          </w:p>
        </w:tc>
      </w:tr>
    </w:tbl>
    <w:p>
      <w:pPr>
        <w:pStyle w:val="Heading1"/>
      </w:pPr>
      <w:bookmarkStart w:id="21" w:name="X6feb2cf4c64a52f85a792e642410e25c7c63cd9"/>
      <w:r>
        <w:t xml:space="preserve">STARD 2015 checklist (OS thresholds vs platinum status)</w:t>
      </w:r>
      <w:bookmarkEnd w:id="2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Identify as a study of diagnostic accuracy in title or abstract</w:t>
            </w:r>
          </w:p>
        </w:tc>
        <w:tc>
          <w:p>
            <w:pPr>
              <w:pStyle w:val="Compact"/>
              <w:jc w:val="left"/>
            </w:pPr>
            <w:r>
              <w:t xml:space="preserve">Abstract (sensitivity and positive predictive value of OS thresholds); not in title, because this is a secondary aim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Structured summary</w:t>
            </w:r>
          </w:p>
        </w:tc>
        <w:tc>
          <w:p>
            <w:pPr>
              <w:pStyle w:val="Compact"/>
              <w:jc w:val="left"/>
            </w:pPr>
            <w:r>
              <w:t xml:space="preserve">Abstract (unstructured, as required by the journal)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Scientific and clinical background, including intended use</w:t>
            </w:r>
          </w:p>
        </w:tc>
        <w:tc>
          <w:p>
            <w:pPr>
              <w:pStyle w:val="Compact"/>
              <w:jc w:val="left"/>
            </w:pPr>
            <w:r>
              <w:t xml:space="preserve">Introduction, paragraph 2 (OS thresholds as surrogate labels for platinum response)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Study objectives and hypotheses</w:t>
            </w:r>
          </w:p>
        </w:tc>
        <w:tc>
          <w:p>
            <w:pPr>
              <w:pStyle w:val="Compact"/>
              <w:jc w:val="left"/>
            </w:pPr>
            <w:r>
              <w:t xml:space="preserve">Introduction, final paragraph; S1 Text (A2, A9 predictions)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Prospective or retrospective</w:t>
            </w:r>
          </w:p>
        </w:tc>
        <w:tc>
          <w:p>
            <w:pPr>
              <w:pStyle w:val="Compact"/>
              <w:jc w:val="left"/>
            </w:pPr>
            <w:r>
              <w:t xml:space="preserve">Retrospective secondary analysis (Methods: Data and cohort)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Eligibility criteria</w:t>
            </w:r>
          </w:p>
        </w:tc>
        <w:tc>
          <w:p>
            <w:pPr>
              <w:pStyle w:val="Compact"/>
              <w:jc w:val="left"/>
            </w:pPr>
            <w:r>
              <w:t xml:space="preserve">Methods: Data and cohort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Basis for identifying potentially eligible participants</w:t>
            </w:r>
          </w:p>
        </w:tc>
        <w:tc>
          <w:p>
            <w:pPr>
              <w:pStyle w:val="Compact"/>
              <w:jc w:val="left"/>
            </w:pPr>
            <w:r>
              <w:t xml:space="preserve">Treatment timeline (carboplatin or cisplatin recorded)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Where and when participants were identified</w:t>
            </w:r>
          </w:p>
        </w:tc>
        <w:tc>
          <w:p>
            <w:pPr>
              <w:pStyle w:val="Compact"/>
              <w:jc w:val="left"/>
            </w:pPr>
            <w:r>
              <w:t xml:space="preserve">TCGA 2011 [1]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Consecutive, random or convenience series</w:t>
            </w:r>
          </w:p>
        </w:tc>
        <w:tc>
          <w:p>
            <w:pPr>
              <w:pStyle w:val="Compact"/>
              <w:jc w:val="left"/>
            </w:pPr>
            <w:r>
              <w:t xml:space="preserve">TCGA cohort as released; not applicable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10a</w:t>
            </w:r>
          </w:p>
        </w:tc>
        <w:tc>
          <w:p>
            <w:pPr>
              <w:pStyle w:val="Compact"/>
              <w:jc w:val="left"/>
            </w:pPr>
            <w:r>
              <w:t xml:space="preserve">Index test, in sufficient detail to allow replication</w:t>
            </w:r>
          </w:p>
        </w:tc>
        <w:tc>
          <w:p>
            <w:pPr>
              <w:pStyle w:val="Compact"/>
              <w:jc w:val="left"/>
            </w:pPr>
            <w:r>
              <w:t xml:space="preserve">Methods: Labels (OS thresholds)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10b</w:t>
            </w:r>
          </w:p>
        </w:tc>
        <w:tc>
          <w:p>
            <w:pPr>
              <w:pStyle w:val="Compact"/>
              <w:jc w:val="left"/>
            </w:pPr>
            <w:r>
              <w:t xml:space="preserve">Reference standard, in sufficient detail</w:t>
            </w:r>
          </w:p>
        </w:tc>
        <w:tc>
          <w:p>
            <w:pPr>
              <w:pStyle w:val="Compact"/>
              <w:jc w:val="left"/>
            </w:pPr>
            <w:r>
              <w:t xml:space="preserve">Methods: Labels (platinum status, verbatim TCGA definition)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Rationale for choosing the reference standard</w:t>
            </w:r>
          </w:p>
        </w:tc>
        <w:tc>
          <w:p>
            <w:pPr>
              <w:pStyle w:val="Compact"/>
              <w:jc w:val="left"/>
            </w:pPr>
            <w:r>
              <w:t xml:space="preserve">Introduction, paragraph 2; Methods: Labels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12a</w:t>
            </w:r>
          </w:p>
        </w:tc>
        <w:tc>
          <w:p>
            <w:pPr>
              <w:pStyle w:val="Compact"/>
              <w:jc w:val="left"/>
            </w:pPr>
            <w:r>
              <w:t xml:space="preserve">Definition and rationale for index-test positivity cut-offs</w:t>
            </w:r>
          </w:p>
        </w:tc>
        <w:tc>
          <w:p>
            <w:pPr>
              <w:pStyle w:val="Compact"/>
              <w:jc w:val="left"/>
            </w:pPr>
            <w:r>
              <w:t xml:space="preserve">Methods: Labels (18 and 24 months, our earlier analyses); all thresholds 6–60 months examined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12b</w:t>
            </w:r>
          </w:p>
        </w:tc>
        <w:tc>
          <w:p>
            <w:pPr>
              <w:pStyle w:val="Compact"/>
              <w:jc w:val="left"/>
            </w:pPr>
            <w:r>
              <w:t xml:space="preserve">Definition of reference-standard cut-off</w:t>
            </w:r>
          </w:p>
        </w:tc>
        <w:tc>
          <w:p>
            <w:pPr>
              <w:pStyle w:val="Compact"/>
              <w:jc w:val="left"/>
            </w:pPr>
            <w:r>
              <w:t xml:space="preserve">Methods: Labels (six months)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13a</w:t>
            </w:r>
          </w:p>
        </w:tc>
        <w:tc>
          <w:p>
            <w:pPr>
              <w:pStyle w:val="Compact"/>
              <w:jc w:val="left"/>
            </w:pPr>
            <w:r>
              <w:t xml:space="preserve">Whether index-test results were available to assessors of the reference standard</w:t>
            </w:r>
          </w:p>
        </w:tc>
        <w:tc>
          <w:p>
            <w:pPr>
              <w:pStyle w:val="Compact"/>
              <w:jc w:val="left"/>
            </w:pPr>
            <w:r>
              <w:t xml:space="preserve">Not applicable: both derived from registry records; no blinding possible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13b</w:t>
            </w:r>
          </w:p>
        </w:tc>
        <w:tc>
          <w:p>
            <w:pPr>
              <w:pStyle w:val="Compact"/>
              <w:jc w:val="left"/>
            </w:pPr>
            <w:r>
              <w:t xml:space="preserve">Whether clinical information was available to assessors</w:t>
            </w:r>
          </w:p>
        </w:tc>
        <w:tc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Methods for estimating diagnostic accuracy</w:t>
            </w:r>
          </w:p>
        </w:tc>
        <w:tc>
          <w:p>
            <w:pPr>
              <w:pStyle w:val="Compact"/>
              <w:jc w:val="left"/>
            </w:pPr>
            <w:r>
              <w:t xml:space="preserve">Methods: Coverage and agreement (sensitivity, specificity, PPV and NPV with Wilson intervals; κ and κmax); NPV values in S2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Handling of indeterminate results</w:t>
            </w:r>
          </w:p>
        </w:tc>
        <w:tc>
          <w:p>
            <w:pPr>
              <w:pStyle w:val="Compact"/>
              <w:jc w:val="left"/>
            </w:pPr>
            <w:r>
              <w:t xml:space="preserve">Methods: Labels (undetermined excluded); Methods: Coverage and agreement (bounds)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Handling of missing data</w:t>
            </w:r>
          </w:p>
        </w:tc>
        <w:tc>
          <w:p>
            <w:pPr>
              <w:pStyle w:val="Compact"/>
              <w:jc w:val="left"/>
            </w:pPr>
            <w:r>
              <w:t xml:space="preserve">Methods: Coverage and agreement (bounds); S4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Analyses of variability, pre-specified or exploratory</w:t>
            </w:r>
          </w:p>
        </w:tc>
        <w:tc>
          <w:p>
            <w:pPr>
              <w:pStyle w:val="Compact"/>
              <w:jc w:val="left"/>
            </w:pPr>
            <w:r>
              <w:t xml:space="preserve">Threshold sweep, reference bounds and combined reference (exploratory, added after review; Results; S2 and S4 Tables)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Intended sample size</w:t>
            </w:r>
          </w:p>
        </w:tc>
        <w:tc>
          <w:p>
            <w:pPr>
              <w:pStyle w:val="Compact"/>
              <w:jc w:val="left"/>
            </w:pPr>
            <w:r>
              <w:t xml:space="preserve">Not applicable (public cohort)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Flow of participants</w:t>
            </w:r>
          </w:p>
        </w:tc>
        <w:tc>
          <w:p>
            <w:pPr>
              <w:pStyle w:val="Compact"/>
              <w:jc w:val="left"/>
            </w:pPr>
            <w:r>
              <w:t xml:space="preserve">Not provided as a diagram; text and S4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Baseline characteristics</w:t>
            </w:r>
          </w:p>
        </w:tc>
        <w:tc>
          <w:p>
            <w:pPr>
              <w:pStyle w:val="Compact"/>
              <w:jc w:val="left"/>
            </w:pPr>
            <w:r>
              <w:t xml:space="preserve">S4 Table (A14)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21a</w:t>
            </w:r>
          </w:p>
        </w:tc>
        <w:tc>
          <w:p>
            <w:pPr>
              <w:pStyle w:val="Compact"/>
              <w:jc w:val="left"/>
            </w:pPr>
            <w:r>
              <w:t xml:space="preserve">Distribution of severity in those with the target condition</w:t>
            </w:r>
          </w:p>
        </w:tc>
        <w:tc>
          <w:p>
            <w:pPr>
              <w:pStyle w:val="Compact"/>
              <w:jc w:val="left"/>
            </w:pPr>
            <w:r>
              <w:t xml:space="preserve">Not reported; refractory and resistant disease not separated (Limitations)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21b</w:t>
            </w:r>
          </w:p>
        </w:tc>
        <w:tc>
          <w:p>
            <w:pPr>
              <w:pStyle w:val="Compact"/>
              <w:jc w:val="left"/>
            </w:pPr>
            <w:r>
              <w:t xml:space="preserve">Distribution of alternative diagnoses</w:t>
            </w:r>
          </w:p>
        </w:tc>
        <w:tc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Time interval between index test and reference standard</w:t>
            </w:r>
          </w:p>
        </w:tc>
        <w:tc>
          <w:p>
            <w:pPr>
              <w:pStyle w:val="Compact"/>
              <w:jc w:val="left"/>
            </w:pPr>
            <w:r>
              <w:t xml:space="preserve">Not applicable in the usual sense: reference determined from first-line follow-up; index determined at 18 or 24 months from diagnosis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Cross-tabulation of index test by reference standard</w:t>
            </w:r>
          </w:p>
        </w:tc>
        <w:tc>
          <w:p>
            <w:pPr>
              <w:pStyle w:val="Compact"/>
              <w:jc w:val="left"/>
            </w:pPr>
            <w:r>
              <w:t xml:space="preserve">S2 Table (true and false positives and negatives)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Estimates of diagnostic accuracy and precision</w:t>
            </w:r>
          </w:p>
        </w:tc>
        <w:tc>
          <w:p>
            <w:pPr>
              <w:pStyle w:val="Compact"/>
              <w:jc w:val="left"/>
            </w:pPr>
            <w:r>
              <w:t xml:space="preserve">Results; Fig 1C; S2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Adverse events</w:t>
            </w:r>
          </w:p>
        </w:tc>
        <w:tc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Implications for practice</w:t>
            </w:r>
          </w:p>
        </w:tc>
        <w:tc>
          <w:p>
            <w:pPr>
              <w:pStyle w:val="Compact"/>
              <w:jc w:val="left"/>
            </w:pPr>
            <w:r>
              <w:t xml:space="preserve">Discussion (recommendations)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Registration</w:t>
            </w:r>
          </w:p>
        </w:tc>
        <w:tc>
          <w:p>
            <w:pPr>
              <w:pStyle w:val="Compact"/>
              <w:jc w:val="left"/>
            </w:pPr>
            <w:r>
              <w:t xml:space="preserve">Not registered; predictions for three analyses deposited publicly before they were run (Methods: Pre-specification and analysis history)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Where the full protocol can be accessed</w:t>
            </w:r>
          </w:p>
        </w:tc>
        <w:tc>
          <w:p>
            <w:pPr>
              <w:pStyle w:val="Compact"/>
              <w:jc w:val="left"/>
            </w:pPr>
            <w:r>
              <w:t xml:space="preserve">S1 Text; code repository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Sources of funding</w:t>
            </w:r>
          </w:p>
        </w:tc>
        <w:tc>
          <w:p>
            <w:pPr>
              <w:pStyle w:val="Compact"/>
              <w:jc w:val="left"/>
            </w:pPr>
            <w:r>
              <w:t xml:space="preserve">Funding (submission form)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 Text. Reporting checklists: STROBE (observational cohort) and STARD 2015 (OS thresholds as tests for platinum resistance)</dc:title>
  <dc:creator/>
  <cp:keywords/>
  <dcterms:created xsi:type="dcterms:W3CDTF">2026-10-30T04:26:55Z</dcterms:created>
  <dcterms:modified xsi:type="dcterms:W3CDTF">2026-10-30T04:26:55Z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