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S2</w:t>
      </w:r>
      <w:r>
        <w:t xml:space="preserve"> </w:t>
      </w:r>
      <w:r>
        <w:t xml:space="preserve">Text.</w:t>
      </w:r>
      <w:r>
        <w:t xml:space="preserve"> </w:t>
      </w:r>
      <w:r>
        <w:t xml:space="preserve">Reporting</w:t>
      </w:r>
      <w:r>
        <w:t xml:space="preserve"> </w:t>
      </w:r>
      <w:r>
        <w:t xml:space="preserve">checklists:</w:t>
      </w:r>
      <w:r>
        <w:t xml:space="preserve"> </w:t>
      </w:r>
      <w:r>
        <w:t xml:space="preserve">STROBE</w:t>
      </w:r>
      <w:r>
        <w:t xml:space="preserve"> </w:t>
      </w:r>
      <w:r>
        <w:t xml:space="preserve">(observational</w:t>
      </w:r>
      <w:r>
        <w:t xml:space="preserve"> </w:t>
      </w:r>
      <w:r>
        <w:t xml:space="preserve">cohort)</w:t>
      </w:r>
      <w:r>
        <w:t xml:space="preserve"> </w:t>
      </w:r>
      <w:r>
        <w:t xml:space="preserve">and</w:t>
      </w:r>
      <w:r>
        <w:t xml:space="preserve"> </w:t>
      </w:r>
      <w:r>
        <w:t xml:space="preserve">STARD</w:t>
      </w:r>
      <w:r>
        <w:t xml:space="preserve"> </w:t>
      </w:r>
      <w:r>
        <w:t xml:space="preserve">2015</w:t>
      </w:r>
      <w:r>
        <w:t xml:space="preserve"> </w:t>
      </w:r>
      <w:r>
        <w:t xml:space="preserve">(OS</w:t>
      </w:r>
      <w:r>
        <w:t xml:space="preserve"> </w:t>
      </w:r>
      <w:r>
        <w:t xml:space="preserve">thresholds</w:t>
      </w:r>
      <w:r>
        <w:t xml:space="preserve"> </w:t>
      </w:r>
      <w:r>
        <w:t xml:space="preserve">as</w:t>
      </w:r>
      <w:r>
        <w:t xml:space="preserve"> </w:t>
      </w:r>
      <w:r>
        <w:t xml:space="preserve">tests</w:t>
      </w:r>
      <w:r>
        <w:t xml:space="preserve"> </w:t>
      </w:r>
      <w:r>
        <w:t xml:space="preserve">for</w:t>
      </w:r>
      <w:r>
        <w:t xml:space="preserve"> </w:t>
      </w:r>
      <w:r>
        <w:t xml:space="preserve">platinum</w:t>
      </w:r>
      <w:r>
        <w:t xml:space="preserve"> </w:t>
      </w:r>
      <w:r>
        <w:t xml:space="preserve">resistance)</w:t>
      </w:r>
    </w:p>
    <w:p>
      <w:pPr>
        <w:pStyle w:val="FirstParagraph"/>
      </w:pPr>
      <w:r>
        <w:t xml:space="preserve">This study is a secondary analysis of publicly available TCGA data. STROBE is used for the study as a whole. STARD 2015 is applied to the one component that is a diagnostic-accuracy analysis: overall-survival (OS) thresholds (index test) evaluated against TCGA platinum status (reference standard).</w:t>
      </w:r>
      <w:r>
        <w:t xml:space="preserve"> </w:t>
      </w:r>
      <w:r>
        <w:t xml:space="preserve">“</w:t>
      </w:r>
      <w:r>
        <w:t xml:space="preserve">Methods: X</w:t>
      </w:r>
      <w:r>
        <w:t xml:space="preserve">”</w:t>
      </w:r>
      <w:r>
        <w:t xml:space="preserve"> </w:t>
      </w:r>
      <w:r>
        <w:t xml:space="preserve">refers to the subsection of the manuscript with that heading. Items that are not reported, or reported only in part, are marked as such.</w:t>
      </w:r>
    </w:p>
    <w:p>
      <w:pPr>
        <w:pStyle w:val="Heading1"/>
      </w:pPr>
      <w:bookmarkStart w:id="20" w:name="strobe-checklist"/>
      <w:r>
        <w:t xml:space="preserve">STROBE checklist</w:t>
      </w:r>
      <w:bookmarkEnd w:id="2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 (abbreviated)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p>
            <w:pPr>
              <w:pStyle w:val="Compact"/>
              <w:jc w:val="left"/>
            </w:pPr>
            <w:r>
              <w:t xml:space="preserve">Indicate the study’s design in the title or abstract</w:t>
            </w:r>
          </w:p>
        </w:tc>
        <w:tc>
          <w:p>
            <w:pPr>
              <w:pStyle w:val="Compact"/>
              <w:jc w:val="left"/>
            </w:pPr>
            <w:r>
              <w:t xml:space="preserve">Abstract (analysis of 489 platinum-treated TCGA-OV patients); Methods: Data and cohort (</w:t>
            </w:r>
            <w:r>
              <w:t xml:space="preserve">“</w:t>
            </w:r>
            <w:r>
              <w:t xml:space="preserve">secondary analysis of publicly available data</w:t>
            </w:r>
            <w:r>
              <w:t xml:space="preserve">”</w:t>
            </w:r>
            <w:r>
              <w:t xml:space="preserve">). The title does not name the design.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t xml:space="preserve">Informative, balanced summary in the abstract</w:t>
            </w:r>
          </w:p>
        </w:tc>
        <w:tc>
          <w:p>
            <w:pPr>
              <w:pStyle w:val="Compact"/>
              <w:jc w:val="left"/>
            </w:pPr>
            <w:r>
              <w:t xml:space="preserve">Abstract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Scientific background and rationale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paragraphs 1–3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Objectives, including pre-specified hypotheses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final paragraph; pre-specified predictions in S1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Key elements of study design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cohort; Methods: Pre-specification and analysis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Setting, locations, periods of recruitment, follow-up, data collection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cohort; TCGA 2011 [1] for recruitment and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p>
            <w:pPr>
              <w:pStyle w:val="Compact"/>
              <w:jc w:val="left"/>
            </w:pPr>
            <w:r>
              <w:t xml:space="preserve">Eligibility criteria, sources and methods of selection, follow-up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 (platinum agent recorded in the treatment timeline); S4 Table (cohort flow)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Define outcomes, exposures, predictors, confounders, effect modifiers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Labels; Methods: Associations with characteristics linked to platinum response and prognosis; Table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Data sources and measurement for each variable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cohort; Methods: Labels; Methods: Associations with characteristics linked to platinum response and prognosis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Efforts to address potential sources of bias</w:t>
            </w:r>
          </w:p>
        </w:tc>
        <w:tc>
          <w:p>
            <w:pPr>
              <w:pStyle w:val="Compact"/>
              <w:jc w:val="left"/>
            </w:pPr>
            <w:r>
              <w:t xml:space="preserve">Methods: Coverage and agreement (bounds for missing reference standard); Results (redaction and residual-coding sensitivity analyses); 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How the study size was arrived at</w:t>
            </w:r>
          </w:p>
        </w:tc>
        <w:tc>
          <w:p>
            <w:pPr>
              <w:pStyle w:val="Compact"/>
              <w:jc w:val="left"/>
            </w:pPr>
            <w:r>
              <w:t xml:space="preserve">Fixed by the public cohort; Methods: Data and cohort. No sample-size calculation; minimum detectable differences are reported (S3 Table).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Handling of quantitative variables</w:t>
            </w:r>
          </w:p>
        </w:tc>
        <w:tc>
          <w:p>
            <w:pPr>
              <w:pStyle w:val="Compact"/>
              <w:jc w:val="left"/>
            </w:pPr>
            <w:r>
              <w:t xml:space="preserve">Methods: Associations with characteristics linked to platinum response and prognosis (rank-based tests; age per 10 years and Aneuploidy Score per SD in the exploratory Cox models)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12a</w:t>
            </w:r>
          </w:p>
        </w:tc>
        <w:tc>
          <w:p>
            <w:pPr>
              <w:pStyle w:val="Compact"/>
              <w:jc w:val="left"/>
            </w:pPr>
            <w:r>
              <w:t xml:space="preserve">All statistical methods, including those for confounding</w:t>
            </w:r>
          </w:p>
        </w:tc>
        <w:tc>
          <w:p>
            <w:pPr>
              <w:pStyle w:val="Compact"/>
              <w:jc w:val="left"/>
            </w:pPr>
            <w:r>
              <w:t xml:space="preserve">Methods: Coverage and agreement; Associations with characteristics; Classifiers; Exploratory analyses. These association analyses are univariable, with no adjustment for confounding (the aim is label comparison); the exploratory clinical-only model is a multivariable logistic regression.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12b</w:t>
            </w:r>
          </w:p>
        </w:tc>
        <w:tc>
          <w:p>
            <w:pPr>
              <w:pStyle w:val="Compact"/>
              <w:jc w:val="left"/>
            </w:pPr>
            <w:r>
              <w:t xml:space="preserve">Methods for subgroups and interactions</w:t>
            </w:r>
          </w:p>
        </w:tc>
        <w:tc>
          <w:p>
            <w:pPr>
              <w:pStyle w:val="Compact"/>
              <w:jc w:val="left"/>
            </w:pPr>
            <w:r>
              <w:t xml:space="preserve">Same-patient comparisons (Methods: Associations with characteristics linked to platinum response and prognosis); no interaction analyses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12c</w:t>
            </w:r>
          </w:p>
        </w:tc>
        <w:tc>
          <w:p>
            <w:pPr>
              <w:pStyle w:val="Compact"/>
              <w:jc w:val="left"/>
            </w:pPr>
            <w:r>
              <w:t xml:space="preserve">How missing data were addressed</w:t>
            </w:r>
          </w:p>
        </w:tc>
        <w:tc>
          <w:p>
            <w:pPr>
              <w:pStyle w:val="Compact"/>
              <w:jc w:val="left"/>
            </w:pPr>
            <w:r>
              <w:t xml:space="preserve">Labels: undetermined patients excluded from each label; Methods: Coverage and agreement (bounds); Results: patients without a platinum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12d</w:t>
            </w:r>
          </w:p>
        </w:tc>
        <w:tc>
          <w:p>
            <w:pPr>
              <w:pStyle w:val="Compact"/>
              <w:jc w:val="left"/>
            </w:pPr>
            <w:r>
              <w:t xml:space="preserve">Loss to follow-up</w:t>
            </w:r>
          </w:p>
        </w:tc>
        <w:tc>
          <w:p>
            <w:pPr>
              <w:pStyle w:val="Compact"/>
              <w:jc w:val="left"/>
            </w:pPr>
            <w:r>
              <w:t xml:space="preserve">OS thresholds exclude patients censored before the threshold (Methods: Labels); 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12e</w:t>
            </w:r>
          </w:p>
        </w:tc>
        <w:tc>
          <w:p>
            <w:pPr>
              <w:pStyle w:val="Compact"/>
              <w:jc w:val="left"/>
            </w:pPr>
            <w:r>
              <w:t xml:space="preserve">Sensitivity analyses</w:t>
            </w:r>
          </w:p>
        </w:tc>
        <w:tc>
          <w:p>
            <w:pPr>
              <w:pStyle w:val="Compact"/>
              <w:jc w:val="left"/>
            </w:pPr>
            <w:r>
              <w:t xml:space="preserve">Threshold sweep (6–60 months); combined reference label; exclusion of redacted TCGA-CDR records; any-vs-no residual coding; alternative carrier definitions (S3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13a</w:t>
            </w:r>
          </w:p>
        </w:tc>
        <w:tc>
          <w:p>
            <w:pPr>
              <w:pStyle w:val="Compact"/>
              <w:jc w:val="left"/>
            </w:pPr>
            <w:r>
              <w:t xml:space="preserve">Numbers at each stage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cohort; Results (coverage); Table 2; S4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p>
            <w:pPr>
              <w:pStyle w:val="Compact"/>
              <w:jc w:val="left"/>
            </w:pPr>
            <w:r>
              <w:t xml:space="preserve">Reasons for non-participation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 (no treatment record; no carboplatin/cisplatin)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13c</w:t>
            </w:r>
          </w:p>
        </w:tc>
        <w:tc>
          <w:p>
            <w:pPr>
              <w:pStyle w:val="Compact"/>
              <w:jc w:val="left"/>
            </w:pPr>
            <w:r>
              <w:t xml:space="preserve">Flow diagram</w:t>
            </w:r>
          </w:p>
        </w:tc>
        <w:tc>
          <w:p>
            <w:pPr>
              <w:pStyle w:val="Compact"/>
              <w:jc w:val="left"/>
            </w:pPr>
            <w:r>
              <w:t xml:space="preserve">Not provided as a figure; flow given in text and S4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14a</w:t>
            </w:r>
          </w:p>
        </w:tc>
        <w:tc>
          <w:p>
            <w:pPr>
              <w:pStyle w:val="Compact"/>
              <w:jc w:val="left"/>
            </w:pPr>
            <w:r>
              <w:t xml:space="preserve">Characteristics of participants</w:t>
            </w:r>
          </w:p>
        </w:tc>
        <w:tc>
          <w:p>
            <w:pPr>
              <w:pStyle w:val="Compact"/>
              <w:jc w:val="left"/>
            </w:pPr>
            <w:r>
              <w:t xml:space="preserve">S4 Table (A14: age, stage, residual disease, Aneuploidy Score, sequencing and</w:t>
            </w:r>
            <w:r>
              <w:t xml:space="preserve"> </w:t>
            </w:r>
            <w:r>
              <w:rPr>
                <w:i/>
              </w:rPr>
              <w:t xml:space="preserve">BRCA1/2</w:t>
            </w:r>
            <w:r>
              <w:t xml:space="preserve"> </w:t>
            </w:r>
            <w:r>
              <w:t xml:space="preserve">status, for the cohort and the RNA-seq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p>
            <w:pPr>
              <w:pStyle w:val="Compact"/>
              <w:jc w:val="left"/>
            </w:pPr>
            <w:r>
              <w:t xml:space="preserve">Number with missing data for each variable</w:t>
            </w:r>
          </w:p>
        </w:tc>
        <w:tc>
          <w:p>
            <w:pPr>
              <w:pStyle w:val="Compact"/>
              <w:jc w:val="left"/>
            </w:pPr>
            <w:r>
              <w:t xml:space="preserve">S4 Table (denominators); Table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14c</w:t>
            </w:r>
          </w:p>
        </w:tc>
        <w:tc>
          <w:p>
            <w:pPr>
              <w:pStyle w:val="Compact"/>
              <w:jc w:val="left"/>
            </w:pPr>
            <w:r>
              <w:t xml:space="preserve">Summarise follow-up time</w:t>
            </w:r>
          </w:p>
        </w:tc>
        <w:tc>
          <w:p>
            <w:pPr>
              <w:pStyle w:val="Compact"/>
              <w:jc w:val="left"/>
            </w:pPr>
            <w:r>
              <w:t xml:space="preserve">Not reported separately; OS medians by group in Results and S4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Numbers of outcome events</w:t>
            </w:r>
          </w:p>
        </w:tc>
        <w:tc>
          <w:p>
            <w:pPr>
              <w:pStyle w:val="Compact"/>
              <w:jc w:val="left"/>
            </w:pPr>
            <w:r>
              <w:t xml:space="preserve">Table 2 (non-responders per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16a</w:t>
            </w:r>
          </w:p>
        </w:tc>
        <w:tc>
          <w:p>
            <w:pPr>
              <w:pStyle w:val="Compact"/>
              <w:jc w:val="left"/>
            </w:pPr>
            <w:r>
              <w:t xml:space="preserve">Unadjusted estimates with precision</w:t>
            </w:r>
          </w:p>
        </w:tc>
        <w:tc>
          <w:p>
            <w:pPr>
              <w:pStyle w:val="Compact"/>
              <w:jc w:val="left"/>
            </w:pPr>
            <w:r>
              <w:t xml:space="preserve">Results; Tables 2–3; Figs 1–4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16b</w:t>
            </w:r>
          </w:p>
        </w:tc>
        <w:tc>
          <w:p>
            <w:pPr>
              <w:pStyle w:val="Compact"/>
              <w:jc w:val="left"/>
            </w:pPr>
            <w:r>
              <w:t xml:space="preserve">Category boundaries for continuous variables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(183 days; 18 and 24 months; 6–60 months)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16c</w:t>
            </w:r>
          </w:p>
        </w:tc>
        <w:tc>
          <w:p>
            <w:pPr>
              <w:pStyle w:val="Compact"/>
              <w:jc w:val="left"/>
            </w:pPr>
            <w:r>
              <w:t xml:space="preserve">Absolute risk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Other analyses</w:t>
            </w:r>
          </w:p>
        </w:tc>
        <w:tc>
          <w:p>
            <w:pPr>
              <w:pStyle w:val="Compact"/>
              <w:jc w:val="left"/>
            </w:pPr>
            <w:r>
              <w:t xml:space="preserve">Results: exploratory section; Supporting information (S1–S2 Fig, S6–S10 Tables)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Key results</w:t>
            </w:r>
          </w:p>
        </w:tc>
        <w:tc>
          <w:p>
            <w:pPr>
              <w:pStyle w:val="Compact"/>
              <w:jc w:val="left"/>
            </w:pPr>
            <w:r>
              <w:t xml:space="preserve">Discussion, paragraph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Cautious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Discussion; Conclusion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Generalisability</w:t>
            </w:r>
          </w:p>
        </w:tc>
        <w:tc>
          <w:p>
            <w:pPr>
              <w:pStyle w:val="Compact"/>
              <w:jc w:val="left"/>
            </w:pPr>
            <w:r>
              <w:t xml:space="preserve">Limitations (single resource)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p>
            <w:pPr>
              <w:pStyle w:val="Compact"/>
              <w:jc w:val="left"/>
            </w:pPr>
            <w:r>
              <w:t xml:space="preserve">Funding (submission form)</w:t>
            </w:r>
          </w:p>
        </w:tc>
      </w:tr>
    </w:tbl>
    <w:p>
      <w:pPr>
        <w:pStyle w:val="Heading1"/>
      </w:pPr>
      <w:bookmarkStart w:id="21" w:name="X6feb2cf4c64a52f85a792e642410e25c7c63cd9"/>
      <w:r>
        <w:t xml:space="preserve">STARD 2015 checklist (OS thresholds vs platinum status)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 (abbreviated)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Identify as a study of diagnostic accuracy in title or abstract</w:t>
            </w:r>
          </w:p>
        </w:tc>
        <w:tc>
          <w:p>
            <w:pPr>
              <w:pStyle w:val="Compact"/>
              <w:jc w:val="left"/>
            </w:pPr>
            <w:r>
              <w:t xml:space="preserve">Abstract (sensitivity and positive predictive value of OS thresholds); not in title, because this is a secondary aim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Structured summary</w:t>
            </w:r>
          </w:p>
        </w:tc>
        <w:tc>
          <w:p>
            <w:pPr>
              <w:pStyle w:val="Compact"/>
              <w:jc w:val="left"/>
            </w:pPr>
            <w:r>
              <w:t xml:space="preserve">Abstract (unstructured, as required by the journal)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Scientific and clinical background, including intended use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paragraph 2 (OS thresholds as surrogate labels for platinum response)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Study objectives and hypotheses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final paragraph; S1 Text (A2, A9 predictions)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Prospective or retrospective</w:t>
            </w:r>
          </w:p>
        </w:tc>
        <w:tc>
          <w:p>
            <w:pPr>
              <w:pStyle w:val="Compact"/>
              <w:jc w:val="left"/>
            </w:pPr>
            <w:r>
              <w:t xml:space="preserve">Retrospective secondary analysis (Methods: Data and cohort)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Eligibility criteria</w:t>
            </w:r>
          </w:p>
        </w:tc>
        <w:tc>
          <w:p>
            <w:pPr>
              <w:pStyle w:val="Compact"/>
              <w:jc w:val="left"/>
            </w:pPr>
            <w:r>
              <w:t xml:space="preserve">Methods: Data and cohort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Basis for identifying potentially eligible participants</w:t>
            </w:r>
          </w:p>
        </w:tc>
        <w:tc>
          <w:p>
            <w:pPr>
              <w:pStyle w:val="Compact"/>
              <w:jc w:val="left"/>
            </w:pPr>
            <w:r>
              <w:t xml:space="preserve">Treatment timeline (carboplatin or cisplatin recorded)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Where and when participants were identified</w:t>
            </w:r>
          </w:p>
        </w:tc>
        <w:tc>
          <w:p>
            <w:pPr>
              <w:pStyle w:val="Compact"/>
              <w:jc w:val="left"/>
            </w:pPr>
            <w:r>
              <w:t xml:space="preserve">TCGA 2011 [1]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Consecutive, random or convenience series</w:t>
            </w:r>
          </w:p>
        </w:tc>
        <w:tc>
          <w:p>
            <w:pPr>
              <w:pStyle w:val="Compact"/>
              <w:jc w:val="left"/>
            </w:pPr>
            <w:r>
              <w:t xml:space="preserve">TCGA cohort as released; not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p>
            <w:pPr>
              <w:pStyle w:val="Compact"/>
              <w:jc w:val="left"/>
            </w:pPr>
            <w:r>
              <w:t xml:space="preserve">Index test, in sufficient detail to allow replication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(OS thresholds)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p>
            <w:pPr>
              <w:pStyle w:val="Compact"/>
              <w:jc w:val="left"/>
            </w:pPr>
            <w:r>
              <w:t xml:space="preserve">Reference standard, in sufficient detail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(platinum status, verbatim TCGA definition)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Rationale for choosing the reference standard</w:t>
            </w:r>
          </w:p>
        </w:tc>
        <w:tc>
          <w:p>
            <w:pPr>
              <w:pStyle w:val="Compact"/>
              <w:jc w:val="left"/>
            </w:pPr>
            <w:r>
              <w:t xml:space="preserve">Introduction, paragraph 2; Methods: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12a</w:t>
            </w:r>
          </w:p>
        </w:tc>
        <w:tc>
          <w:p>
            <w:pPr>
              <w:pStyle w:val="Compact"/>
              <w:jc w:val="left"/>
            </w:pPr>
            <w:r>
              <w:t xml:space="preserve">Definition and rationale for index-test positivity cut-offs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(18 and 24 months, our earlier analyses); all thresholds 6–60 months examined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12b</w:t>
            </w:r>
          </w:p>
        </w:tc>
        <w:tc>
          <w:p>
            <w:pPr>
              <w:pStyle w:val="Compact"/>
              <w:jc w:val="left"/>
            </w:pPr>
            <w:r>
              <w:t xml:space="preserve">Definition of reference-standard cut-off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(six months)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13a</w:t>
            </w:r>
          </w:p>
        </w:tc>
        <w:tc>
          <w:p>
            <w:pPr>
              <w:pStyle w:val="Compact"/>
              <w:jc w:val="left"/>
            </w:pPr>
            <w:r>
              <w:t xml:space="preserve">Whether index-test results were available to assessors of the reference standard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applicable: both derived from registry records; no blinding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p>
            <w:pPr>
              <w:pStyle w:val="Compact"/>
              <w:jc w:val="left"/>
            </w:pPr>
            <w:r>
              <w:t xml:space="preserve">Whether clinical information was available to assessors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Methods for estimating diagnostic accuracy</w:t>
            </w:r>
          </w:p>
        </w:tc>
        <w:tc>
          <w:p>
            <w:pPr>
              <w:pStyle w:val="Compact"/>
              <w:jc w:val="left"/>
            </w:pPr>
            <w:r>
              <w:t xml:space="preserve">Methods: Coverage and agreement (sensitivity, specificity, PPV and NPV with Wilson intervals; κ and κmax); NPV values in S2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Handling of indeterminate results</w:t>
            </w:r>
          </w:p>
        </w:tc>
        <w:tc>
          <w:p>
            <w:pPr>
              <w:pStyle w:val="Compact"/>
              <w:jc w:val="left"/>
            </w:pPr>
            <w:r>
              <w:t xml:space="preserve">Methods: Labels (undetermined excluded); Methods: Coverage and agreement (bounds)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Handling of missing data</w:t>
            </w:r>
          </w:p>
        </w:tc>
        <w:tc>
          <w:p>
            <w:pPr>
              <w:pStyle w:val="Compact"/>
              <w:jc w:val="left"/>
            </w:pPr>
            <w:r>
              <w:t xml:space="preserve">Methods: Coverage and agreement (bounds); S4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Analyses of variability, pre-specified or exploratory</w:t>
            </w:r>
          </w:p>
        </w:tc>
        <w:tc>
          <w:p>
            <w:pPr>
              <w:pStyle w:val="Compact"/>
              <w:jc w:val="left"/>
            </w:pPr>
            <w:r>
              <w:t xml:space="preserve">Threshold sweep, reference bounds and combined reference (exploratory, added after review; Results; S2 and S4 Tables)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Intended sample size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(public cohort)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Flow of participants</w:t>
            </w:r>
          </w:p>
        </w:tc>
        <w:tc>
          <w:p>
            <w:pPr>
              <w:pStyle w:val="Compact"/>
              <w:jc w:val="left"/>
            </w:pPr>
            <w:r>
              <w:t xml:space="preserve">Not provided as a diagram; text and S4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Baseline characteristics</w:t>
            </w:r>
          </w:p>
        </w:tc>
        <w:tc>
          <w:p>
            <w:pPr>
              <w:pStyle w:val="Compact"/>
              <w:jc w:val="left"/>
            </w:pPr>
            <w:r>
              <w:t xml:space="preserve">S4 Table (A14)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21a</w:t>
            </w:r>
          </w:p>
        </w:tc>
        <w:tc>
          <w:p>
            <w:pPr>
              <w:pStyle w:val="Compact"/>
              <w:jc w:val="left"/>
            </w:pPr>
            <w:r>
              <w:t xml:space="preserve">Distribution of severity in those with the target condition</w:t>
            </w:r>
          </w:p>
        </w:tc>
        <w:tc>
          <w:p>
            <w:pPr>
              <w:pStyle w:val="Compact"/>
              <w:jc w:val="left"/>
            </w:pPr>
            <w:r>
              <w:t xml:space="preserve">Not reported; refractory and resistant disease not separated (Limitations)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21b</w:t>
            </w:r>
          </w:p>
        </w:tc>
        <w:tc>
          <w:p>
            <w:pPr>
              <w:pStyle w:val="Compact"/>
              <w:jc w:val="left"/>
            </w:pPr>
            <w:r>
              <w:t xml:space="preserve">Distribution of alternative diagnoses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Time interval between index test and reference standard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in the usual sense: reference determined from first-line follow-up; index determined at 18 or 24 months from diagnosis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Cross-tabulation of index test by reference standard</w:t>
            </w:r>
          </w:p>
        </w:tc>
        <w:tc>
          <w:p>
            <w:pPr>
              <w:pStyle w:val="Compact"/>
              <w:jc w:val="left"/>
            </w:pPr>
            <w:r>
              <w:t xml:space="preserve">S2 Table (true and false positives and negatives)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Estimates of diagnostic accuracy and precision</w:t>
            </w:r>
          </w:p>
        </w:tc>
        <w:tc>
          <w:p>
            <w:pPr>
              <w:pStyle w:val="Compact"/>
              <w:jc w:val="left"/>
            </w:pPr>
            <w:r>
              <w:t xml:space="preserve">Results; Fig 1C; S2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Adverse events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Implications for practice</w:t>
            </w:r>
          </w:p>
        </w:tc>
        <w:tc>
          <w:p>
            <w:pPr>
              <w:pStyle w:val="Compact"/>
              <w:jc w:val="left"/>
            </w:pPr>
            <w:r>
              <w:t xml:space="preserve">Discussion (recommendations)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p>
            <w:pPr>
              <w:pStyle w:val="Compact"/>
              <w:jc w:val="left"/>
            </w:pPr>
            <w:r>
              <w:t xml:space="preserve">Not registered; predictions for three analyses deposited publicly before they were run (Methods: Pre-specification and analysis history)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Where the full protocol can be accessed</w:t>
            </w:r>
          </w:p>
        </w:tc>
        <w:tc>
          <w:p>
            <w:pPr>
              <w:pStyle w:val="Compact"/>
              <w:jc w:val="left"/>
            </w:pPr>
            <w:r>
              <w:t xml:space="preserve">S1 Text; code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Sources of funding</w:t>
            </w:r>
          </w:p>
        </w:tc>
        <w:tc>
          <w:p>
            <w:pPr>
              <w:pStyle w:val="Compact"/>
              <w:jc w:val="left"/>
            </w:pPr>
            <w:r>
              <w:t xml:space="preserve">Funding (submission form)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Text. Reporting checklists: STROBE (observational cohort) and STARD 2015 (OS thresholds as tests for platinum resistance)</dc:title>
  <dc:creator/>
  <cp:keywords/>
  <dcterms:created xsi:type="dcterms:W3CDTF">2026-10-30T02:34:51Z</dcterms:created>
  <dcterms:modified xsi:type="dcterms:W3CDTF">2026-10-30T02:34:51Z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