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S2</w:t>
      </w:r>
      <w:r>
        <w:t xml:space="preserve"> </w:t>
      </w:r>
      <w:r>
        <w:t xml:space="preserve">Text.</w:t>
      </w:r>
      <w:r>
        <w:t xml:space="preserve"> </w:t>
      </w:r>
      <w:r>
        <w:t xml:space="preserve">Reporting</w:t>
      </w:r>
      <w:r>
        <w:t xml:space="preserve"> </w:t>
      </w:r>
      <w:r>
        <w:t xml:space="preserve">checklists:</w:t>
      </w:r>
      <w:r>
        <w:t xml:space="preserve"> </w:t>
      </w:r>
      <w:r>
        <w:t xml:space="preserve">STROBE</w:t>
      </w:r>
      <w:r>
        <w:t xml:space="preserve"> </w:t>
      </w:r>
      <w:r>
        <w:t xml:space="preserve">(observational</w:t>
      </w:r>
      <w:r>
        <w:t xml:space="preserve"> </w:t>
      </w:r>
      <w:r>
        <w:t xml:space="preserve">cohort)</w:t>
      </w:r>
      <w:r>
        <w:t xml:space="preserve"> </w:t>
      </w:r>
      <w:r>
        <w:t xml:space="preserve">and</w:t>
      </w:r>
      <w:r>
        <w:t xml:space="preserve"> </w:t>
      </w:r>
      <w:r>
        <w:t xml:space="preserve">STARD</w:t>
      </w:r>
      <w:r>
        <w:t xml:space="preserve"> </w:t>
      </w:r>
      <w:r>
        <w:t xml:space="preserve">2015</w:t>
      </w:r>
      <w:r>
        <w:t xml:space="preserve"> </w:t>
      </w:r>
      <w:r>
        <w:t xml:space="preserve">(OS</w:t>
      </w:r>
      <w:r>
        <w:t xml:space="preserve"> </w:t>
      </w:r>
      <w:r>
        <w:t xml:space="preserve">thresholds</w:t>
      </w:r>
      <w:r>
        <w:t xml:space="preserve"> </w:t>
      </w:r>
      <w:r>
        <w:t xml:space="preserve">as</w:t>
      </w:r>
      <w:r>
        <w:t xml:space="preserve"> </w:t>
      </w:r>
      <w:r>
        <w:t xml:space="preserve">tests</w:t>
      </w:r>
      <w:r>
        <w:t xml:space="preserve"> </w:t>
      </w:r>
      <w:r>
        <w:t xml:space="preserve">for</w:t>
      </w:r>
      <w:r>
        <w:t xml:space="preserve"> </w:t>
      </w:r>
      <w:r>
        <w:t xml:space="preserve">platinum</w:t>
      </w:r>
      <w:r>
        <w:t xml:space="preserve"> </w:t>
      </w:r>
      <w:r>
        <w:t xml:space="preserve">resistance)</w:t>
      </w:r>
    </w:p>
    <w:p>
      <w:pPr>
        <w:pStyle w:val="FirstParagraph"/>
      </w:pPr>
      <w:r>
        <w:t xml:space="preserve">This study is a secondary analysis of publicly available TCGA data. STROBE is used for the study as a whole. STARD 2015 is applied to the one component that is a diagnostic-accuracy analysis: overall-survival (OS) thresholds (index test) evaluated against TCGA platinum status (reference standard).</w:t>
      </w:r>
      <w:r>
        <w:t xml:space="preserve"> </w:t>
      </w:r>
      <w:r>
        <w:t xml:space="preserve">“</w:t>
      </w:r>
      <w:r>
        <w:t xml:space="preserve">Methods: X</w:t>
      </w:r>
      <w:r>
        <w:t xml:space="preserve">”</w:t>
      </w:r>
      <w:r>
        <w:t xml:space="preserve"> </w:t>
      </w:r>
      <w:r>
        <w:t xml:space="preserve">refers to the subsection of the manuscript with that heading. Items that are not reported, or reported only in part, are marked as such.</w:t>
      </w:r>
    </w:p>
    <w:bookmarkStart w:id="20" w:name="strobe-checklist"/>
    <w:p>
      <w:pPr>
        <w:pStyle w:val="Heading1"/>
      </w:pPr>
      <w:r>
        <w:t xml:space="preserve">STROBE checklist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study’s design in the title or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(analysis of 489 platinum-treated TCGA-OV patients); Methods: Data and cohort (</w:t>
            </w:r>
            <w:r>
              <w:t xml:space="preserve">“</w:t>
            </w:r>
            <w:r>
              <w:t xml:space="preserve">secondary analysis of publicly available data</w:t>
            </w:r>
            <w:r>
              <w:t xml:space="preserve">”</w:t>
            </w:r>
            <w:r>
              <w:t xml:space="preserve">). The title does not name the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Informative, balanced summary in the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Objectives, including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final paragraph; pre-specified predictions in S1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study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Data and cohort; Methods: Pre-specification and analysis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periods of recruitment,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Data and cohort; TCGA 2011 [1] for recruitment and follow-up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selection,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Data and cohort (platinum agent recorded in the treatment timeline); S4 Table (cohort 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Labels; Methods: Known-groups associations; 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sources and measurement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Data and cohort; Methods: Labels; Methods: Known-groups associations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Coverage and agreement (bounds for missing reference standard); Results (redaction and residual-coding sensitivity analyses);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by the public cohort; Methods: Data and cohort. No sample-size calculation; minimum detectable differences are reported (S3 Table).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Handling of quantitative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Known-groups associations (rank-based tests; age per 10 years and Aneuploidy Score per SD in the exploratory Cox models)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those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Coverage and agreement; Known-groups associations; Classifiers; Exploratory analyses. Known-groups analyses are univariable, with no adjustment for confounding (the aim is label comparison); the exploratory clinical-only model is a multivariable logistic regression.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Same-patient comparisons (Methods: Known-groups associations); no interaction analyses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Labels: undetermined patients excluded from each label; Methods: Coverage and agreement (bounds); Results: patients without a platinum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 to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thresholds exclude patients censored before the threshold (Methods: Labels);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sweep (6–60 months); combined reference label; exclusion of redacted TCGA-CDR records; any-vs-no residual coding; alternative carrier definitions (S3 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Data and cohort; Results (coverage); Table 2; S4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non-participation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Data and cohort (no treatment record; no carboplatin/cisplatin)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 as a figure; flow given in text and S4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 Table (A14: age, stage, residual disease, Aneuploidy Score, sequencing and</w:t>
            </w:r>
            <w:r>
              <w:t xml:space="preserve"> </w:t>
            </w:r>
            <w:r>
              <w:rPr>
                <w:iCs/>
                <w:i/>
              </w:rPr>
              <w:t xml:space="preserve">BRCA1/2</w:t>
            </w:r>
            <w:r>
              <w:t xml:space="preserve"> </w:t>
            </w:r>
            <w:r>
              <w:t xml:space="preserve">status, for the cohort and the RNA-seq subset)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 Table (denominators); 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Summarise 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reported separately; OS medians by group in Results and S4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 (non-responders per label)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Results; Tables 2–3; Figs 1–4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Labels (183 days; 18 and 24 months; 6–60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Results: exploratory section; Supporting information (S1–S2 Fig, S6–S10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 (single resource)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(submission form)</w:t>
            </w:r>
          </w:p>
        </w:tc>
      </w:tr>
    </w:tbl>
    <w:bookmarkEnd w:id="20"/>
    <w:bookmarkStart w:id="21" w:name="X6feb2cf4c64a52f85a792e642410e25c7c63cd9"/>
    <w:p>
      <w:pPr>
        <w:pStyle w:val="Heading1"/>
      </w:pPr>
      <w:r>
        <w:t xml:space="preserve">STARD 2015 checklist (OS thresholds vs platinum status)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as a study of diagnostic accuracy in title or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(sensitivity and positive predictive value of OS thresholds); not in title, because this is a secondary 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(unstructured, as required by the journal)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and clinical background, including 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2 (OS thresholds as surrogate labels for platinum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objectives and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final paragraph; S1 Text (A2, A9 predictions)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or retrospective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Retrospective secondary analysis (Methods: Data and cohort)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Data and cohort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for identifying potentially eligible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 timeline (carboplatin or cisplatin recorded)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and when participants were identified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TCGA 2011 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Consecutive, random or convenience 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TCGA cohort as released; 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test, in sufficient detail to allow 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Labels (OS thresholds)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standard, in sufficient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Labels (platinum status, verbatim TCGA definition)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for choosing the reference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2; Methods: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 and rationale for index-test positivity cut-offs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Labels (18 and 24 months, our earlier analyses); all thresholds 6–60 months examined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 of reference-standard cut-off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Labels (six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index-test results were available to assessors of the reference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applicable: both derived from registry records; no blinding possible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clinical information was available to assessors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estimating diagnostic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Coverage and agreement (sensitivity, specificity, PPV and NPV with Wilson intervals; κ and κmax); NPV values in S2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Handling of indeterminate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Labels (undetermined excluded); Methods: Coverage and agreement (bounds)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Handling of missing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Methods: Coverage and agreement (bounds); S4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Analyses of variability, pre-specified or exploratory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sweep, reference bounds and combined reference (exploratory, added after review; Results; S2 and S4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(public cohort)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of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 as a diagram; text and S4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 Table (A14)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of severity in those with the target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reported; refractory and resistant disease not separated (Limitations)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of alternative diagnoses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interval between index test and reference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in the usual sense: reference determined from first-line follow-up; index determined at 18 or 24 months from diagnosis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Cross-tabulation of index test by reference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 Table (true and false positives and negatives)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 of diagnostic accuracy and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Results; Fig 1C; S2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Adverse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Implications for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 (recommendations)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registered; predictions for three analyses deposited publicly before they were run (Methods: Pre-specification and analysis history)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full protocol can be accessed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Text; code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(submission form)</w:t>
            </w:r>
          </w:p>
        </w:tc>
      </w:tr>
    </w:tbl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 Text. Reporting checklists: STROBE (observational cohort) and STARD 2015 (OS thresholds as tests for platinum resistance)</dc:title>
  <dc:creator/>
  <cp:keywords/>
  <dcterms:created xsi:type="dcterms:W3CDTF">2026-10-30T01:30:22Z</dcterms:created>
  <dcterms:modified xsi:type="dcterms:W3CDTF">2026-10-30T01:30:22Z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