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C384" w14:textId="7F606027" w:rsidR="00D33D4F" w:rsidRDefault="00D33D4F">
      <w:pPr>
        <w:spacing w:line="480" w:lineRule="auto"/>
        <w:rPr>
          <w:rFonts w:hint="eastAsia"/>
          <w:b/>
          <w:sz w:val="20"/>
          <w:szCs w:val="20"/>
        </w:rPr>
      </w:pPr>
      <w:proofErr w:type="spellStart"/>
      <w:r w:rsidRPr="00D33D4F">
        <w:rPr>
          <w:b/>
          <w:sz w:val="20"/>
          <w:szCs w:val="20"/>
        </w:rPr>
        <w:t>CNNeoPP</w:t>
      </w:r>
      <w:proofErr w:type="spellEnd"/>
      <w:r>
        <w:rPr>
          <w:rFonts w:hint="eastAsia"/>
          <w:b/>
          <w:sz w:val="20"/>
          <w:szCs w:val="20"/>
        </w:rPr>
        <w:t xml:space="preserve"> workflow</w:t>
      </w:r>
    </w:p>
    <w:p w14:paraId="0000002E" w14:textId="3C9E3818" w:rsidR="00972C62" w:rsidRDefault="006B2BED">
      <w:pPr>
        <w:spacing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Processing of DNA-seq and RNA-seq data</w:t>
      </w:r>
    </w:p>
    <w:p w14:paraId="2D038049" w14:textId="12AD7AE9" w:rsidR="00972C62" w:rsidRDefault="006B2BED" w:rsidP="000F4ADC">
      <w:pPr>
        <w:spacing w:line="480" w:lineRule="auto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Whole-exome sequencing (WES) data underwent quality control using </w:t>
      </w:r>
      <w:proofErr w:type="spellStart"/>
      <w:r>
        <w:rPr>
          <w:sz w:val="20"/>
          <w:szCs w:val="20"/>
        </w:rPr>
        <w:t>FastQC</w:t>
      </w:r>
      <w:proofErr w:type="spellEnd"/>
      <w:r>
        <w:rPr>
          <w:sz w:val="20"/>
          <w:szCs w:val="20"/>
        </w:rPr>
        <w:t xml:space="preserve"> (v0.12.1). Adapter sequences and low-quality bases (Phred &lt; 33) were removed using </w:t>
      </w:r>
      <w:proofErr w:type="spellStart"/>
      <w:r>
        <w:rPr>
          <w:sz w:val="20"/>
          <w:szCs w:val="20"/>
        </w:rPr>
        <w:t>Trimmomatic</w:t>
      </w:r>
      <w:proofErr w:type="spellEnd"/>
      <w:r>
        <w:rPr>
          <w:sz w:val="20"/>
          <w:szCs w:val="20"/>
        </w:rPr>
        <w:t xml:space="preserve"> (v0.39). Reads were aligned to the hg38 human genome using BWA (v0.7.12). Resulting BAM files were sorted using </w:t>
      </w:r>
      <w:proofErr w:type="spellStart"/>
      <w:r>
        <w:rPr>
          <w:sz w:val="20"/>
          <w:szCs w:val="20"/>
        </w:rPr>
        <w:t>SAMtools</w:t>
      </w:r>
      <w:proofErr w:type="spellEnd"/>
      <w:r>
        <w:rPr>
          <w:sz w:val="20"/>
          <w:szCs w:val="20"/>
        </w:rPr>
        <w:t xml:space="preserve">, and PCR duplicates were removed with Picard’s </w:t>
      </w:r>
      <w:proofErr w:type="spellStart"/>
      <w:r>
        <w:rPr>
          <w:sz w:val="20"/>
          <w:szCs w:val="20"/>
        </w:rPr>
        <w:t>MarkDuplicates</w:t>
      </w:r>
      <w:proofErr w:type="spellEnd"/>
      <w:r>
        <w:rPr>
          <w:sz w:val="20"/>
          <w:szCs w:val="20"/>
        </w:rPr>
        <w:t>. Base quality score recalibration (BQSR) was performed using GATK (v4.4). RNA-seq data were quality-filtered using Cutadapt, with adapters removed and bases with Phred scores &lt; 25 trimmed to ensure high integrity for expression quantification.</w:t>
      </w:r>
    </w:p>
    <w:p w14:paraId="00000031" w14:textId="77777777" w:rsidR="00972C62" w:rsidRDefault="006B2BED">
      <w:pPr>
        <w:spacing w:before="20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Somatic mutation calling and filtering </w:t>
      </w:r>
    </w:p>
    <w:p w14:paraId="61810713" w14:textId="77777777" w:rsidR="00972C62" w:rsidRDefault="006B2BED" w:rsidP="000F4ADC">
      <w:pPr>
        <w:spacing w:line="480" w:lineRule="auto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Somatic SNVs were identified using Mutect2 (GATK v4.4) in paired tumor–normal mode. BQSR-processed BAM files were used, and germline variants were filtered by applying a germline resource file. Cross-sample contamination was estimated using </w:t>
      </w:r>
      <w:proofErr w:type="spellStart"/>
      <w:r>
        <w:rPr>
          <w:sz w:val="20"/>
          <w:szCs w:val="20"/>
        </w:rPr>
        <w:t>GetPileupSummaries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CalculateContamination</w:t>
      </w:r>
      <w:proofErr w:type="spellEnd"/>
      <w:r>
        <w:rPr>
          <w:sz w:val="20"/>
          <w:szCs w:val="20"/>
        </w:rPr>
        <w:t xml:space="preserve">, generating contamination tables for filtering. Mutations were filtered using </w:t>
      </w:r>
      <w:proofErr w:type="spellStart"/>
      <w:r>
        <w:rPr>
          <w:sz w:val="20"/>
          <w:szCs w:val="20"/>
        </w:rPr>
        <w:t>FilterMutectCalls</w:t>
      </w:r>
      <w:proofErr w:type="spellEnd"/>
      <w:r>
        <w:rPr>
          <w:sz w:val="20"/>
          <w:szCs w:val="20"/>
        </w:rPr>
        <w:t xml:space="preserve">, and those labeled as “PASS” were retained with </w:t>
      </w:r>
      <w:proofErr w:type="spellStart"/>
      <w:r>
        <w:rPr>
          <w:sz w:val="20"/>
          <w:szCs w:val="20"/>
        </w:rPr>
        <w:t>SelectVariants</w:t>
      </w:r>
      <w:proofErr w:type="spellEnd"/>
      <w:r>
        <w:rPr>
          <w:sz w:val="20"/>
          <w:szCs w:val="20"/>
        </w:rPr>
        <w:t xml:space="preserve"> for downstream neoantigen prediction.</w:t>
      </w:r>
    </w:p>
    <w:p w14:paraId="00000035" w14:textId="77777777" w:rsidR="00972C62" w:rsidRDefault="006B2BED">
      <w:pPr>
        <w:spacing w:before="20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Mutation annotation and peptide extraction</w:t>
      </w:r>
    </w:p>
    <w:p w14:paraId="00000036" w14:textId="77777777" w:rsidR="00972C62" w:rsidRDefault="006B2BED" w:rsidP="000F4ADC">
      <w:pPr>
        <w:spacing w:line="480" w:lineRule="auto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>Somatic mutations were annotated using ANNOVAR, focusing on nonsynonymous variants. A custom Python (v3.9.12) script was used to translate each variant into a 21-mer mutant peptide sequence centered on the mutation, paired with the wild-type sequence. These were then fragmented into 8–11-mer peptides, ensuring the mutation was retained within each fragment to conform to MHC class I binding requirements.</w:t>
      </w:r>
    </w:p>
    <w:p w14:paraId="00000037" w14:textId="77777777" w:rsidR="00972C62" w:rsidRDefault="006B2BED">
      <w:pPr>
        <w:spacing w:before="20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Gene expression quantification and filtering </w:t>
      </w:r>
    </w:p>
    <w:p w14:paraId="383EC29F" w14:textId="2450ED6D" w:rsidR="00972C62" w:rsidRDefault="006B2BED" w:rsidP="000F4ADC">
      <w:pPr>
        <w:spacing w:line="480" w:lineRule="auto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Gene isoform expression levels were quantified using Kallisto, with the reference transcriptome from </w:t>
      </w:r>
      <w:proofErr w:type="spellStart"/>
      <w:r>
        <w:rPr>
          <w:sz w:val="20"/>
          <w:szCs w:val="20"/>
        </w:rPr>
        <w:t>Ensembl</w:t>
      </w:r>
      <w:proofErr w:type="spellEnd"/>
      <w:r>
        <w:rPr>
          <w:sz w:val="20"/>
          <w:szCs w:val="20"/>
        </w:rPr>
        <w:t xml:space="preserve"> GRCh38. An index was generated for quantification, and expression was reported in transcripts per million (TPM). Only peptides derived from transcripts with TPM ≥ 1 were retained, ensuring biological relevance in downstream prediction</w:t>
      </w:r>
      <w:r w:rsidR="006F5F55">
        <w:rPr>
          <w:sz w:val="20"/>
          <w:szCs w:val="20"/>
        </w:rPr>
        <w:t>.</w:t>
      </w:r>
    </w:p>
    <w:p w14:paraId="00000039" w14:textId="77777777" w:rsidR="00972C62" w:rsidRDefault="006B2BED">
      <w:pPr>
        <w:spacing w:before="20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HLA genotyping and binding affinity prediction</w:t>
      </w:r>
    </w:p>
    <w:p w14:paraId="0000003F" w14:textId="2E2BDCE8" w:rsidR="00972C62" w:rsidRDefault="006B2BED" w:rsidP="000F4ADC">
      <w:pPr>
        <w:spacing w:line="480" w:lineRule="auto"/>
        <w:ind w:firstLineChars="200" w:firstLine="400"/>
        <w:rPr>
          <w:sz w:val="20"/>
          <w:szCs w:val="20"/>
        </w:rPr>
      </w:pPr>
      <w:r>
        <w:rPr>
          <w:sz w:val="20"/>
          <w:szCs w:val="20"/>
        </w:rPr>
        <w:t xml:space="preserve">HLA class I alleles were inferred from normal WES data using </w:t>
      </w:r>
      <w:proofErr w:type="spellStart"/>
      <w:r>
        <w:rPr>
          <w:sz w:val="20"/>
          <w:szCs w:val="20"/>
        </w:rPr>
        <w:t>OptiType</w:t>
      </w:r>
      <w:proofErr w:type="spellEnd"/>
      <w:r>
        <w:rPr>
          <w:sz w:val="20"/>
          <w:szCs w:val="20"/>
        </w:rPr>
        <w:t xml:space="preserve">, which achieves ~97% genotyping accuracy. Binding affinities for mutant and wild-type peptides were predicted using </w:t>
      </w:r>
      <w:r>
        <w:rPr>
          <w:sz w:val="20"/>
          <w:szCs w:val="20"/>
        </w:rPr>
        <w:lastRenderedPageBreak/>
        <w:t>NetMHCpan-4.1. Peptides with a %rank &gt; 2 were excluded to retain only strong and weak binders likely to be presented by HLA class I molecules.</w:t>
      </w:r>
    </w:p>
    <w:p w14:paraId="783EE5F6" w14:textId="77777777" w:rsidR="00972C62" w:rsidRDefault="006B2BED">
      <w:pPr>
        <w:spacing w:before="200" w:line="48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Immunogenicity prediction using </w:t>
      </w:r>
      <w:proofErr w:type="spellStart"/>
      <w:r>
        <w:rPr>
          <w:b/>
          <w:sz w:val="20"/>
          <w:szCs w:val="20"/>
        </w:rPr>
        <w:t>CNNeo</w:t>
      </w:r>
      <w:proofErr w:type="spellEnd"/>
    </w:p>
    <w:p w14:paraId="00000040" w14:textId="2177AEF5" w:rsidR="00972C62" w:rsidRDefault="006B2BED" w:rsidP="0029316C">
      <w:pPr>
        <w:spacing w:line="480" w:lineRule="auto"/>
        <w:ind w:firstLineChars="200" w:firstLine="400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Candidate neoantigens, their HLA types, and all 11 computed features were input into the </w:t>
      </w:r>
      <w:proofErr w:type="spellStart"/>
      <w:r>
        <w:rPr>
          <w:sz w:val="20"/>
          <w:szCs w:val="20"/>
        </w:rPr>
        <w:t>CNNeo</w:t>
      </w:r>
      <w:proofErr w:type="spellEnd"/>
      <w:r>
        <w:rPr>
          <w:sz w:val="20"/>
          <w:szCs w:val="20"/>
        </w:rPr>
        <w:t xml:space="preserve"> model for immunogenicity prediction. Each peptide–HLA pair was assigned a numeric immunogenicity score, which quantitatively reflects the likelihood of eliciting a T-cell response. Higher scores indicated a greater predicted immunogenic potential. These scores were used to rank candidate peptides, enabling systematic prioritization for downstream analysis, validation, and integration into </w:t>
      </w:r>
      <w:proofErr w:type="spellStart"/>
      <w:r>
        <w:rPr>
          <w:sz w:val="20"/>
          <w:szCs w:val="20"/>
        </w:rPr>
        <w:t>CNNeoPP</w:t>
      </w:r>
      <w:proofErr w:type="spellEnd"/>
      <w:r>
        <w:rPr>
          <w:sz w:val="20"/>
          <w:szCs w:val="20"/>
        </w:rPr>
        <w:t>.</w:t>
      </w:r>
    </w:p>
    <w:sectPr w:rsidR="00972C62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280E" w14:textId="77777777" w:rsidR="00F27262" w:rsidRDefault="00F27262" w:rsidP="009201B0">
      <w:r>
        <w:separator/>
      </w:r>
    </w:p>
  </w:endnote>
  <w:endnote w:type="continuationSeparator" w:id="0">
    <w:p w14:paraId="5E018BD5" w14:textId="77777777" w:rsidR="00F27262" w:rsidRDefault="00F27262" w:rsidP="0092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yriad Pro Light">
    <w:altName w:val="Segoe UI Light"/>
    <w:charset w:val="00"/>
    <w:family w:val="roman"/>
    <w:pitch w:val="default"/>
  </w:font>
  <w:font w:name="Arno 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1063" w14:textId="77777777" w:rsidR="00F27262" w:rsidRDefault="00F27262" w:rsidP="009201B0">
      <w:r>
        <w:separator/>
      </w:r>
    </w:p>
  </w:footnote>
  <w:footnote w:type="continuationSeparator" w:id="0">
    <w:p w14:paraId="032D1E4E" w14:textId="77777777" w:rsidR="00F27262" w:rsidRDefault="00F27262" w:rsidP="00920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3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Frontiers-Vancouver&lt;/Style&gt;&lt;LeftDelim&gt;{&lt;/LeftDelim&gt;&lt;RightDelim&gt;}&lt;/RightDelim&gt;&lt;FontName&gt;Times New Roman&lt;/FontName&gt;&lt;FontSize&gt;9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5f0rtfzyf2z92ea2f8v2edk0z9fx2zdsxfd&quot;&gt;My EndNote Library&lt;record-ids&gt;&lt;item&gt;1683&lt;/item&gt;&lt;item&gt;1906&lt;/item&gt;&lt;item&gt;1907&lt;/item&gt;&lt;item&gt;1915&lt;/item&gt;&lt;item&gt;1943&lt;/item&gt;&lt;item&gt;1944&lt;/item&gt;&lt;item&gt;1945&lt;/item&gt;&lt;item&gt;1946&lt;/item&gt;&lt;item&gt;1947&lt;/item&gt;&lt;item&gt;1948&lt;/item&gt;&lt;item&gt;1949&lt;/item&gt;&lt;/record-ids&gt;&lt;/item&gt;&lt;/Libraries&gt;"/>
  </w:docVars>
  <w:rsids>
    <w:rsidRoot w:val="006520D1"/>
    <w:rsid w:val="00016EBF"/>
    <w:rsid w:val="0003662F"/>
    <w:rsid w:val="00044F8A"/>
    <w:rsid w:val="00082A98"/>
    <w:rsid w:val="000A3EE7"/>
    <w:rsid w:val="000D00C5"/>
    <w:rsid w:val="000E736F"/>
    <w:rsid w:val="000F4ADC"/>
    <w:rsid w:val="00123F1B"/>
    <w:rsid w:val="001260E8"/>
    <w:rsid w:val="00250E46"/>
    <w:rsid w:val="00276BE4"/>
    <w:rsid w:val="0029316C"/>
    <w:rsid w:val="002F35EF"/>
    <w:rsid w:val="00311464"/>
    <w:rsid w:val="00316A56"/>
    <w:rsid w:val="0037449E"/>
    <w:rsid w:val="00375733"/>
    <w:rsid w:val="00393E53"/>
    <w:rsid w:val="003D03C5"/>
    <w:rsid w:val="003F7525"/>
    <w:rsid w:val="0045644C"/>
    <w:rsid w:val="00581DA4"/>
    <w:rsid w:val="005962F5"/>
    <w:rsid w:val="005967E1"/>
    <w:rsid w:val="005A5297"/>
    <w:rsid w:val="005D12B2"/>
    <w:rsid w:val="005D594C"/>
    <w:rsid w:val="005E41C0"/>
    <w:rsid w:val="00603FB2"/>
    <w:rsid w:val="006075DF"/>
    <w:rsid w:val="00637474"/>
    <w:rsid w:val="006520D1"/>
    <w:rsid w:val="006B2BED"/>
    <w:rsid w:val="006B766A"/>
    <w:rsid w:val="006D3FF1"/>
    <w:rsid w:val="006F5F55"/>
    <w:rsid w:val="00751B39"/>
    <w:rsid w:val="00772977"/>
    <w:rsid w:val="007E387C"/>
    <w:rsid w:val="007F6583"/>
    <w:rsid w:val="008038E9"/>
    <w:rsid w:val="008E1555"/>
    <w:rsid w:val="008E73F2"/>
    <w:rsid w:val="008F7DD0"/>
    <w:rsid w:val="009201B0"/>
    <w:rsid w:val="0096270A"/>
    <w:rsid w:val="0096341D"/>
    <w:rsid w:val="00972C62"/>
    <w:rsid w:val="009C4000"/>
    <w:rsid w:val="00D33D4F"/>
    <w:rsid w:val="00D962C2"/>
    <w:rsid w:val="00DB6C29"/>
    <w:rsid w:val="00E77408"/>
    <w:rsid w:val="00F27262"/>
    <w:rsid w:val="00F71B6C"/>
    <w:rsid w:val="00FA69C8"/>
    <w:rsid w:val="00FC3D57"/>
    <w:rsid w:val="121E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E9AF1"/>
  <w15:docId w15:val="{8498CCA4-ACC9-4193-964A-2EE93600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19"/>
      <w:szCs w:val="19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Title">
    <w:name w:val="BA_Title"/>
    <w:basedOn w:val="a"/>
    <w:next w:val="a"/>
    <w:link w:val="BATitle0"/>
    <w:autoRedefine/>
    <w:qFormat/>
    <w:pPr>
      <w:widowControl/>
      <w:spacing w:before="240" w:after="180"/>
    </w:pPr>
    <w:rPr>
      <w:rFonts w:ascii="Myriad Pro Light" w:hAnsi="Myriad Pro Light"/>
      <w:b/>
      <w:kern w:val="36"/>
      <w:sz w:val="34"/>
      <w:szCs w:val="20"/>
      <w:lang w:eastAsia="en-US"/>
    </w:rPr>
  </w:style>
  <w:style w:type="character" w:customStyle="1" w:styleId="BATitle0">
    <w:name w:val="BA_Title 字符"/>
    <w:basedOn w:val="a0"/>
    <w:link w:val="BATitle"/>
    <w:qFormat/>
    <w:rPr>
      <w:rFonts w:ascii="Myriad Pro Light" w:hAnsi="Myriad Pro Light" w:cs="Times New Roman"/>
      <w:b/>
      <w:kern w:val="36"/>
      <w:sz w:val="34"/>
      <w:lang w:eastAsia="en-US"/>
    </w:rPr>
  </w:style>
  <w:style w:type="paragraph" w:customStyle="1" w:styleId="BBAuthorName">
    <w:name w:val="BB_Author_Name"/>
    <w:basedOn w:val="a"/>
    <w:next w:val="a"/>
    <w:autoRedefine/>
    <w:qFormat/>
    <w:pPr>
      <w:widowControl/>
      <w:spacing w:after="180"/>
      <w:jc w:val="center"/>
    </w:pPr>
    <w:rPr>
      <w:rFonts w:ascii="Myriad Pro Light" w:hAnsi="Myriad Pro Light"/>
      <w:bCs/>
      <w:kern w:val="36"/>
      <w:sz w:val="28"/>
      <w:szCs w:val="16"/>
      <w:lang w:eastAsia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CAuthorAddress">
    <w:name w:val="BC_Author_Address"/>
    <w:basedOn w:val="a"/>
    <w:next w:val="a"/>
    <w:autoRedefine/>
    <w:qFormat/>
    <w:pPr>
      <w:widowControl/>
      <w:spacing w:after="60"/>
      <w:jc w:val="left"/>
    </w:pPr>
    <w:rPr>
      <w:rFonts w:ascii="Arno Pro" w:hAnsi="Arno Pro"/>
      <w:kern w:val="22"/>
      <w:sz w:val="20"/>
      <w:szCs w:val="20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eastAsiaTheme="minorEastAsia"/>
      <w:kern w:val="2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pPr>
      <w:jc w:val="center"/>
    </w:pPr>
    <w:rPr>
      <w:sz w:val="18"/>
    </w:rPr>
  </w:style>
  <w:style w:type="character" w:customStyle="1" w:styleId="EndNoteBibliographyTitle0">
    <w:name w:val="EndNote Bibliography Title 字符"/>
    <w:basedOn w:val="a0"/>
    <w:link w:val="EndNoteBibliographyTitle"/>
    <w:rPr>
      <w:kern w:val="2"/>
      <w:sz w:val="18"/>
      <w:szCs w:val="19"/>
    </w:rPr>
  </w:style>
  <w:style w:type="paragraph" w:customStyle="1" w:styleId="EndNoteBibliography">
    <w:name w:val="EndNote Bibliography"/>
    <w:basedOn w:val="a"/>
    <w:link w:val="EndNoteBibliography0"/>
    <w:rPr>
      <w:sz w:val="18"/>
    </w:rPr>
  </w:style>
  <w:style w:type="character" w:customStyle="1" w:styleId="EndNoteBibliography0">
    <w:name w:val="EndNote Bibliography 字符"/>
    <w:basedOn w:val="a0"/>
    <w:link w:val="EndNoteBibliography"/>
    <w:rPr>
      <w:kern w:val="2"/>
      <w:sz w:val="18"/>
      <w:szCs w:val="19"/>
    </w:rPr>
  </w:style>
  <w:style w:type="character" w:customStyle="1" w:styleId="aa">
    <w:name w:val="页眉 字符"/>
    <w:basedOn w:val="a0"/>
    <w:link w:val="a9"/>
    <w:uiPriority w:val="9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uaoZgxgQNifCY04ndTbxGFaBw==">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385</Words>
  <Characters>2541</Characters>
  <Application>Microsoft Office Word</Application>
  <DocSecurity>0</DocSecurity>
  <Lines>45</Lines>
  <Paragraphs>17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Yu Cai</cp:lastModifiedBy>
  <cp:revision>46</cp:revision>
  <cp:lastPrinted>2025-03-24T03:15:00Z</cp:lastPrinted>
  <dcterms:created xsi:type="dcterms:W3CDTF">2024-02-04T12:33:00Z</dcterms:created>
  <dcterms:modified xsi:type="dcterms:W3CDTF">2025-12-18T19:27:00Z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02EF4DC599B84B8FB4166B4B81C5DCCE_12</vt:lpwstr>
  </property>
  <property fmtid="{D5CDD505-2E9C-101B-9397-08002B2CF9AE}" pid="4" name="KSOTemplateDocerSaveRecord">
    <vt:lpwstr>eyJoZGlkIjoiMjA3ZjE0NWJkNmEwMjM0ZmJiZDY1NGUyM2Y4MDRlYzYiLCJ1c2VySWQiOiIyODEzMTEzMzUifQ==</vt:lpwstr>
  </property>
</Properties>
</file>