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96E2E" w14:textId="77777777" w:rsidR="00C21B28" w:rsidRPr="00C61BA2" w:rsidRDefault="00C21B28" w:rsidP="00C21B28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</w:pPr>
      <w:r w:rsidRPr="00C61BA2">
        <w:rPr>
          <w:rFonts w:ascii="Century Schoolbook" w:eastAsia="Century Schoolbook" w:hAnsi="Century Schoolbook" w:cs="Century Schoolbook"/>
          <w:b/>
          <w:sz w:val="21"/>
          <w:szCs w:val="21"/>
          <w:lang w:val="es-AR"/>
        </w:rPr>
        <w:t xml:space="preserve">UNIVERSIDAD DE BUENOS AIRES - </w:t>
      </w:r>
      <w:r w:rsidRPr="00C61BA2">
        <w:rPr>
          <w:rFonts w:ascii="Century Schoolbook" w:eastAsia="Century Schoolbook" w:hAnsi="Century Schoolbook" w:cs="Century Schoolbook"/>
          <w:b/>
          <w:smallCaps/>
          <w:sz w:val="21"/>
          <w:szCs w:val="21"/>
          <w:lang w:val="es-AR"/>
        </w:rPr>
        <w:t>2025</w:t>
      </w:r>
    </w:p>
    <w:p w14:paraId="4E349D3F" w14:textId="77777777" w:rsidR="00C21B28" w:rsidRPr="00C61BA2" w:rsidRDefault="00C21B28" w:rsidP="00C21B28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AR"/>
        </w:rPr>
      </w:pPr>
    </w:p>
    <w:p w14:paraId="53815F1D" w14:textId="77777777" w:rsidR="00C21B28" w:rsidRPr="00C61BA2" w:rsidRDefault="00C21B28" w:rsidP="00C21B28">
      <w:pPr>
        <w:rPr>
          <w:rFonts w:ascii="Century Schoolbook" w:eastAsia="Century Schoolbook" w:hAnsi="Century Schoolbook" w:cs="Century Schoolbook"/>
          <w:b/>
          <w:sz w:val="20"/>
          <w:szCs w:val="20"/>
          <w:lang w:val="es-AR"/>
        </w:rPr>
      </w:pPr>
    </w:p>
    <w:p w14:paraId="252AC496" w14:textId="77777777" w:rsidR="00C21B28" w:rsidRPr="00C61BA2" w:rsidRDefault="00C21B28" w:rsidP="00C21B28">
      <w:pPr>
        <w:jc w:val="center"/>
        <w:rPr>
          <w:rFonts w:ascii="Century Schoolbook" w:eastAsia="Century Schoolbook" w:hAnsi="Century Schoolbook" w:cs="Century Schoolbook"/>
          <w:b/>
          <w:sz w:val="30"/>
          <w:szCs w:val="30"/>
          <w:lang w:val="es-AR"/>
        </w:rPr>
      </w:pPr>
      <w:r w:rsidRPr="00C61BA2">
        <w:rPr>
          <w:rFonts w:ascii="Century Schoolbook" w:eastAsia="Century Schoolbook" w:hAnsi="Century Schoolbook" w:cs="Century Schoolbook"/>
          <w:b/>
          <w:sz w:val="30"/>
          <w:szCs w:val="30"/>
          <w:lang w:val="es-AR"/>
        </w:rPr>
        <w:t>BIG DATA &amp; MACHINE LEARNING</w:t>
      </w:r>
    </w:p>
    <w:p w14:paraId="74C47B4A" w14:textId="77777777" w:rsidR="00C21B28" w:rsidRPr="00C61BA2" w:rsidRDefault="00C21B28" w:rsidP="00C21B28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AR"/>
        </w:rPr>
      </w:pPr>
    </w:p>
    <w:p w14:paraId="30BACD0E" w14:textId="77777777" w:rsidR="00C21B28" w:rsidRPr="00C61BA2" w:rsidRDefault="00C21B28" w:rsidP="00C21B28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AR"/>
        </w:rPr>
      </w:pPr>
    </w:p>
    <w:p w14:paraId="09595FA4" w14:textId="77777777" w:rsidR="00C21B28" w:rsidRPr="00C61BA2" w:rsidRDefault="00C21B28" w:rsidP="00C21B28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</w:pPr>
      <w:r w:rsidRPr="00C61BA2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  <w:t>Trabajo Práctico N° 2</w:t>
      </w:r>
    </w:p>
    <w:p w14:paraId="44B6C9FB" w14:textId="77777777" w:rsidR="00C21B28" w:rsidRPr="00C61BA2" w:rsidRDefault="00C21B28" w:rsidP="00C21B28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</w:pPr>
    </w:p>
    <w:p w14:paraId="336F6CE3" w14:textId="77777777" w:rsidR="00C21B28" w:rsidRPr="00C61BA2" w:rsidRDefault="00C21B28" w:rsidP="00C21B28">
      <w:pPr>
        <w:jc w:val="center"/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</w:pPr>
      <w:r w:rsidRPr="00C61BA2">
        <w:rPr>
          <w:rFonts w:ascii="Century Schoolbook" w:eastAsia="Century Schoolbook" w:hAnsi="Century Schoolbook" w:cs="Century Schoolbook"/>
          <w:b/>
          <w:smallCaps/>
          <w:sz w:val="28"/>
          <w:szCs w:val="28"/>
          <w:lang w:val="es-AR"/>
        </w:rPr>
        <w:t>Un primer encuentro con la EPH</w:t>
      </w:r>
    </w:p>
    <w:p w14:paraId="54B11DF9" w14:textId="77777777" w:rsidR="00C21B28" w:rsidRPr="00C61BA2" w:rsidRDefault="00C21B28" w:rsidP="00C21B28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AR"/>
        </w:rPr>
      </w:pPr>
    </w:p>
    <w:p w14:paraId="29D7CDAC" w14:textId="77777777" w:rsidR="00C21B28" w:rsidRPr="00C61BA2" w:rsidRDefault="00C21B28" w:rsidP="00C21B28">
      <w:pPr>
        <w:rPr>
          <w:lang w:val="es-AR"/>
        </w:rPr>
      </w:pPr>
    </w:p>
    <w:p w14:paraId="2AB844BD" w14:textId="6DC98015" w:rsidR="00C404AC" w:rsidRDefault="00C21B28" w:rsidP="00C21B28">
      <w:pPr>
        <w:pStyle w:val="Prrafodelista"/>
        <w:numPr>
          <w:ilvl w:val="0"/>
          <w:numId w:val="1"/>
        </w:numPr>
      </w:pPr>
      <w:r>
        <w:rPr>
          <w:rFonts w:ascii="Arial" w:hAnsi="Arial" w:cs="Arial"/>
        </w:rPr>
        <w:t>​</w:t>
      </w:r>
      <w:r>
        <w:rPr>
          <w:rStyle w:val="relative"/>
          <w:rFonts w:eastAsiaTheme="majorEastAsia"/>
        </w:rPr>
        <w:t xml:space="preserve">La Encuesta Permanente de Hogares (EPH), realizada trimestralmente por el Instituto Nacional de Estadística y Censos (INDEC), es una herramienta clave para analizar el mercado laboral argentino. </w:t>
      </w:r>
      <w:r>
        <w:rPr>
          <w:rStyle w:val="relative"/>
        </w:rPr>
        <w:t>E</w:t>
      </w:r>
      <w:r>
        <w:rPr>
          <w:rStyle w:val="relative"/>
          <w:rFonts w:eastAsiaTheme="majorEastAsia"/>
        </w:rPr>
        <w:t>l INDEC clasifica a la población en dos grandes grupos: la población económicamente activa (PEA) y la población económicamente inactiva (PEI).</w:t>
      </w:r>
      <w:r>
        <w:t xml:space="preserve"> </w:t>
      </w:r>
      <w:r>
        <w:rPr>
          <w:rStyle w:val="relative"/>
          <w:rFonts w:eastAsiaTheme="majorEastAsia"/>
        </w:rPr>
        <w:t>Dentro de la PEA, se identifican a las personas desocupadas como aquellas que no tienen empleo, están disponibles para trabajar y han buscado activamente trabajo en la semana previa al</w:t>
      </w:r>
      <w:r>
        <w:rPr>
          <w:rStyle w:val="relative"/>
        </w:rPr>
        <w:t xml:space="preserve"> periodo</w:t>
      </w:r>
      <w:r>
        <w:rPr>
          <w:rStyle w:val="relative"/>
          <w:rFonts w:eastAsiaTheme="majorEastAsia"/>
        </w:rPr>
        <w:t>.</w:t>
      </w:r>
      <w:r>
        <w:t xml:space="preserve"> </w:t>
      </w:r>
      <w:r>
        <w:rPr>
          <w:rStyle w:val="relative"/>
          <w:rFonts w:eastAsiaTheme="majorEastAsia"/>
        </w:rPr>
        <w:t xml:space="preserve">La búsqueda activa de empleo se refiere a acciones como enviar currículums, responder a avisos de trabajo o consultar a conocidos sobre posibles </w:t>
      </w:r>
      <w:r>
        <w:rPr>
          <w:rStyle w:val="relative"/>
        </w:rPr>
        <w:t>vacantes</w:t>
      </w:r>
      <w:r>
        <w:t>.</w:t>
      </w:r>
    </w:p>
    <w:p w14:paraId="48EAD468" w14:textId="3A2BF036" w:rsidR="00C21B28" w:rsidRDefault="00C21B28" w:rsidP="00C21B28">
      <w:pPr>
        <w:pStyle w:val="Prrafodelista"/>
        <w:rPr>
          <w:rFonts w:ascii="Arial" w:hAnsi="Arial" w:cs="Arial"/>
        </w:rPr>
      </w:pPr>
      <w:r>
        <w:rPr>
          <w:rStyle w:val="relative"/>
          <w:rFonts w:eastAsiaTheme="majorEastAsia"/>
        </w:rPr>
        <w:t xml:space="preserve">Es importante destacar que, según la metodología del INDEC, se considera "ocupado" a quien haya trabajado al menos una hora en la semana anterior al </w:t>
      </w:r>
      <w:r>
        <w:rPr>
          <w:rStyle w:val="relative"/>
        </w:rPr>
        <w:t>periodo</w:t>
      </w:r>
      <w:r>
        <w:rPr>
          <w:rStyle w:val="relative"/>
          <w:rFonts w:eastAsiaTheme="majorEastAsia"/>
        </w:rPr>
        <w:t xml:space="preserve">, independientemente de si recibió </w:t>
      </w:r>
      <w:r>
        <w:rPr>
          <w:rStyle w:val="relative"/>
        </w:rPr>
        <w:t>una remuneración</w:t>
      </w:r>
      <w:r>
        <w:rPr>
          <w:rStyle w:val="relative"/>
          <w:rFonts w:eastAsiaTheme="majorEastAsia"/>
        </w:rPr>
        <w:t>.</w:t>
      </w:r>
      <w:r>
        <w:t xml:space="preserve"> </w:t>
      </w:r>
      <w:r>
        <w:rPr>
          <w:rStyle w:val="relative"/>
          <w:rFonts w:eastAsiaTheme="majorEastAsia"/>
        </w:rPr>
        <w:t xml:space="preserve">Por lo tanto, el concepto de "trabajo" en este contexto abarca </w:t>
      </w:r>
      <w:r>
        <w:rPr>
          <w:rStyle w:val="relative"/>
        </w:rPr>
        <w:t>tantas actividades remuneradas</w:t>
      </w:r>
      <w:r>
        <w:rPr>
          <w:rStyle w:val="relative"/>
          <w:rFonts w:eastAsiaTheme="majorEastAsia"/>
        </w:rPr>
        <w:t xml:space="preserve"> como no remuneradas, siempre que estén destinadas a la producción</w:t>
      </w:r>
      <w:r>
        <w:t>.</w:t>
      </w:r>
      <w:r>
        <w:rPr>
          <w:rFonts w:ascii="Arial" w:hAnsi="Arial" w:cs="Arial"/>
        </w:rPr>
        <w:t>​</w:t>
      </w:r>
    </w:p>
    <w:p w14:paraId="37F630C8" w14:textId="7A63CC47" w:rsidR="00C21B28" w:rsidRPr="00C21B28" w:rsidRDefault="00C21B28" w:rsidP="00C21B28">
      <w:pPr>
        <w:pStyle w:val="Prrafodelista"/>
      </w:pPr>
      <w:r>
        <w:t xml:space="preserve">Además, la EPH permite identificar situaciones como la subocupación, donde las personas trabajan menos de 35 horas </w:t>
      </w:r>
      <w:r w:rsidR="006A343A">
        <w:t>semanales y</w:t>
      </w:r>
      <w:r>
        <w:t xml:space="preserve"> la sobreocupación, donde se superan las 45 horas semanales de trabajo.</w:t>
      </w:r>
    </w:p>
    <w:p w14:paraId="123F6748" w14:textId="77777777" w:rsidR="00C404AC" w:rsidRPr="00C21B28" w:rsidRDefault="00C404AC" w:rsidP="00C404AC">
      <w:pPr>
        <w:rPr>
          <w:lang w:val="es-AR"/>
        </w:rPr>
      </w:pPr>
    </w:p>
    <w:p w14:paraId="564EB7B3" w14:textId="24D7EFA5" w:rsidR="00C404AC" w:rsidRDefault="00C21B28">
      <w:pPr>
        <w:rPr>
          <w:lang w:val="es-AR"/>
        </w:rPr>
      </w:pPr>
      <w:r>
        <w:rPr>
          <w:lang w:val="es-AR"/>
        </w:rPr>
        <w:t xml:space="preserve">Fuentes: </w:t>
      </w:r>
      <w:hyperlink r:id="rId8" w:history="1">
        <w:r w:rsidR="006A343A" w:rsidRPr="00870ED9">
          <w:rPr>
            <w:rStyle w:val="Hipervnculo"/>
            <w:lang w:val="es-AR"/>
          </w:rPr>
          <w:t>https://www.infobae.com/2015/10/03/1759839-los-enganos-del-indec-y-las-cifras-del-desempleo</w:t>
        </w:r>
        <w:r w:rsidR="006A343A" w:rsidRPr="00870ED9">
          <w:rPr>
            <w:rStyle w:val="Hipervnculo"/>
            <w:lang w:val="es-AR"/>
          </w:rPr>
          <w:t>.com</w:t>
        </w:r>
      </w:hyperlink>
    </w:p>
    <w:p w14:paraId="71AE8FAF" w14:textId="77777777" w:rsidR="006A343A" w:rsidRDefault="006A343A">
      <w:pPr>
        <w:rPr>
          <w:lang w:val="es-AR"/>
        </w:rPr>
      </w:pPr>
    </w:p>
    <w:p w14:paraId="119AF703" w14:textId="32AEA436" w:rsidR="00C21B28" w:rsidRDefault="006A343A">
      <w:pPr>
        <w:rPr>
          <w:lang w:val="es-AR"/>
        </w:rPr>
      </w:pPr>
      <w:hyperlink r:id="rId9" w:history="1">
        <w:r w:rsidRPr="00870ED9">
          <w:rPr>
            <w:rStyle w:val="Hipervnculo"/>
            <w:lang w:val="es-AR"/>
          </w:rPr>
          <w:t>https://chequeado.com/el-explicador/como-se-elaboran-los-datos-sobre-desempleo-en-la-argentina</w:t>
        </w:r>
        <w:r w:rsidRPr="00870ED9">
          <w:rPr>
            <w:rStyle w:val="Hipervnculo"/>
            <w:lang w:val="es-AR"/>
          </w:rPr>
          <w:t>.com</w:t>
        </w:r>
      </w:hyperlink>
    </w:p>
    <w:p w14:paraId="5CD2698F" w14:textId="77777777" w:rsidR="006A343A" w:rsidRDefault="006A343A">
      <w:pPr>
        <w:rPr>
          <w:lang w:val="es-AR"/>
        </w:rPr>
      </w:pPr>
    </w:p>
    <w:p w14:paraId="6D62DD48" w14:textId="5F0284A5" w:rsidR="006A343A" w:rsidRPr="00C21B28" w:rsidRDefault="006A343A">
      <w:pPr>
        <w:rPr>
          <w:lang w:val="es-AR"/>
        </w:rPr>
      </w:pPr>
      <w:r w:rsidRPr="006A343A">
        <w:rPr>
          <w:lang w:val="es-AR"/>
        </w:rPr>
        <w:t>https://www.indec.gob.ar/uploads/informesdeprensa/mercado_trabajo_eph_4trim24083C6B9E41.pdf</w:t>
      </w:r>
    </w:p>
    <w:p w14:paraId="454A89DB" w14:textId="77777777" w:rsidR="00C404AC" w:rsidRPr="00C21B28" w:rsidRDefault="00C404AC">
      <w:pPr>
        <w:rPr>
          <w:lang w:val="es-AR"/>
        </w:rPr>
      </w:pPr>
    </w:p>
    <w:p w14:paraId="6832C58D" w14:textId="77777777" w:rsidR="00C404AC" w:rsidRPr="00C21B28" w:rsidRDefault="00C404AC">
      <w:pPr>
        <w:rPr>
          <w:lang w:val="es-AR"/>
        </w:rPr>
      </w:pPr>
    </w:p>
    <w:p w14:paraId="72B8507A" w14:textId="447E2083" w:rsidR="00C404AC" w:rsidRPr="00C21B28" w:rsidRDefault="00C404AC">
      <w:pPr>
        <w:rPr>
          <w:lang w:val="es-AR"/>
        </w:rPr>
      </w:pPr>
    </w:p>
    <w:sectPr w:rsidR="00C404AC" w:rsidRPr="00C21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722"/>
    <w:multiLevelType w:val="hybridMultilevel"/>
    <w:tmpl w:val="4782D83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0231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4AC"/>
    <w:rsid w:val="006A343A"/>
    <w:rsid w:val="00B27EED"/>
    <w:rsid w:val="00C21B28"/>
    <w:rsid w:val="00C4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D33AE"/>
  <w15:chartTrackingRefBased/>
  <w15:docId w15:val="{6FD562E7-5D44-4F0E-A4FF-35BB242AD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B28"/>
    <w:pPr>
      <w:spacing w:after="0" w:line="240" w:lineRule="auto"/>
    </w:pPr>
    <w:rPr>
      <w:rFonts w:ascii="Times New Roman" w:eastAsia="Times New Roman" w:hAnsi="Times New Roman" w:cs="Times New Roman"/>
      <w:kern w:val="0"/>
      <w:lang w:val="en-GB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4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0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0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04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04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04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04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0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0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0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0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04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0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04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0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0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04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04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04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04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0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04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04AC"/>
    <w:rPr>
      <w:b/>
      <w:bCs/>
      <w:smallCaps/>
      <w:color w:val="0F4761" w:themeColor="accent1" w:themeShade="BF"/>
      <w:spacing w:val="5"/>
    </w:rPr>
  </w:style>
  <w:style w:type="character" w:customStyle="1" w:styleId="relative">
    <w:name w:val="relative"/>
    <w:basedOn w:val="Fuentedeprrafopredeter"/>
    <w:rsid w:val="00C21B28"/>
  </w:style>
  <w:style w:type="character" w:styleId="Hipervnculo">
    <w:name w:val="Hyperlink"/>
    <w:basedOn w:val="Fuentedeprrafopredeter"/>
    <w:uiPriority w:val="99"/>
    <w:unhideWhenUsed/>
    <w:rsid w:val="00C21B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21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fobae.com/2015/10/03/1759839-los-enganos-del-indec-y-las-cifras-del-desempleo.com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hequeado.com/el-explicador/como-se-elaboran-los-datos-sobre-desempleo-en-la-argentina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14D6B3F590E948940786B020CEA824" ma:contentTypeVersion="1" ma:contentTypeDescription="Crear nuevo documento." ma:contentTypeScope="" ma:versionID="468515bf7781f663e107705c4d8ec997">
  <xsd:schema xmlns:xsd="http://www.w3.org/2001/XMLSchema" xmlns:xs="http://www.w3.org/2001/XMLSchema" xmlns:p="http://schemas.microsoft.com/office/2006/metadata/properties" xmlns:ns3="e1b9ad7c-2cd1-4c68-8eba-4987af88de24" targetNamespace="http://schemas.microsoft.com/office/2006/metadata/properties" ma:root="true" ma:fieldsID="69d1687f6ac48f76b92e7041ea092641" ns3:_="">
    <xsd:import namespace="e1b9ad7c-2cd1-4c68-8eba-4987af88de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b9ad7c-2cd1-4c68-8eba-4987af88de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4619FC-AAF7-464C-810D-F861ECBE4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b9ad7c-2cd1-4c68-8eba-4987af88de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EC39C4-F480-4B40-B434-DC3B235BEA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9C169D-86E5-46A2-9074-A9A91C57E4C4}">
  <ds:schemaRefs>
    <ds:schemaRef ds:uri="http://schemas.microsoft.com/office/2006/metadata/properties"/>
    <ds:schemaRef ds:uri="http://purl.org/dc/elements/1.1/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documentManagement/types"/>
    <ds:schemaRef ds:uri="e1b9ad7c-2cd1-4c68-8eba-4987af88de24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293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https://dsc.gg/kernelos</Company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Tomas Fernandez</dc:creator>
  <cp:keywords/>
  <dc:description/>
  <cp:lastModifiedBy>Aaron Tomas Fernandez</cp:lastModifiedBy>
  <cp:revision>2</cp:revision>
  <dcterms:created xsi:type="dcterms:W3CDTF">2025-04-19T21:44:00Z</dcterms:created>
  <dcterms:modified xsi:type="dcterms:W3CDTF">2025-04-19T21:44:00Z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0x0101000F14D6B3F590E948940786B020CEA824</vt:lpwstr>
  </property>
</Properties>
</file>