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x4ttcdhhwkg7" w:id="0"/>
      <w:bookmarkEnd w:id="0"/>
      <w:r w:rsidDel="00000000" w:rsidR="00000000" w:rsidRPr="00000000">
        <w:rPr>
          <w:rtl w:val="0"/>
        </w:rPr>
        <w:t xml:space="preserve">Guión Análisis de Videojuegos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🧠 CONTEXTO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PixelWave Studios desea analizar el mercado de videojuegos para entender mejor qué géneros, plataformas y regiones generan mayor éxito comercial. El análisis también incluye la influencia de las reseñas en el rendimiento de ventas.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r w:rsidDel="00000000" w:rsidR="00000000" w:rsidRPr="00000000">
        <w:rPr>
          <w:rtl w:val="0"/>
        </w:rPr>
        <w:t xml:space="preserve">👨‍💼 SOLICITUD DEL CLIENTE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“Queremos identificar qué hace exitoso a un videojuego para enfocar mejor nuestras decisiones estratégicas de desarrollo y distribución.”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Analizar las tendencias de ventas por plataforma, género y región.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Estudiar la relación entre reseñas y éxito comercial.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Evaluar el desempeño por región y las preferencias locales.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Detectar distribuidores y desarrolladores más exitosos.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Analizar la popularidad por género según región y plataforma.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Observar tendencias según el año de lanzamiento.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6IcD0MCUeJLvpmXt1VGdSRCJlw==">CgMxLjAyDmgueDR0dGNkaGh3a2c3OAByITFCelRWcS1sdkE0RmJDWWVmZEdGcXR1dGFaS05mLXU0NQ==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