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45AD81" w14:textId="3A0F0A01" w:rsidR="007B6DAE" w:rsidRPr="009B314B" w:rsidRDefault="00B374C6">
      <w:pPr>
        <w:jc w:val="right"/>
        <w:rPr>
          <w:rFonts w:ascii="Garamond" w:hAnsi="Garamond"/>
          <w:b/>
          <w:sz w:val="24"/>
          <w:szCs w:val="24"/>
          <w:u w:val="single"/>
        </w:rPr>
      </w:pPr>
      <w:r>
        <w:rPr>
          <w:rFonts w:ascii="Garamond" w:hAnsi="Garamond"/>
          <w:b/>
          <w:sz w:val="24"/>
          <w:szCs w:val="24"/>
          <w:u w:val="single"/>
        </w:rPr>
        <w:t>Aaron Cooke</w:t>
      </w:r>
    </w:p>
    <w:p w14:paraId="381BE131" w14:textId="7967149D" w:rsidR="00AD49D7" w:rsidRDefault="00B374C6" w:rsidP="00E9781B">
      <w:pPr>
        <w:jc w:val="right"/>
        <w:rPr>
          <w:rFonts w:ascii="Garamond" w:hAnsi="Garamond"/>
        </w:rPr>
      </w:pPr>
      <w:r w:rsidRPr="00B374C6">
        <w:rPr>
          <w:rFonts w:ascii="Garamond" w:hAnsi="Garamond"/>
        </w:rPr>
        <w:t>aaronjcooke.h</w:t>
      </w:r>
      <w:r>
        <w:rPr>
          <w:rFonts w:ascii="Garamond" w:hAnsi="Garamond"/>
        </w:rPr>
        <w:t>github.io</w:t>
      </w:r>
    </w:p>
    <w:p w14:paraId="35555848" w14:textId="3BAD2E2F" w:rsidR="00E9781B" w:rsidRPr="00AD49D7" w:rsidRDefault="00F37367" w:rsidP="00AD49D7">
      <w:pPr>
        <w:jc w:val="right"/>
        <w:rPr>
          <w:rFonts w:ascii="Garamond" w:hAnsi="Garamond"/>
          <w:b/>
          <w:sz w:val="24"/>
          <w:szCs w:val="24"/>
        </w:rPr>
      </w:pPr>
      <w:hyperlink r:id="rId5" w:history="1">
        <w:r w:rsidR="00B374C6">
          <w:rPr>
            <w:rStyle w:val="Hyperlink"/>
            <w:rFonts w:ascii="Garamond" w:hAnsi="Garamond"/>
            <w:color w:val="auto"/>
            <w:u w:val="none"/>
          </w:rPr>
          <w:t>aaron.cooke@uconn.edu</w:t>
        </w:r>
      </w:hyperlink>
    </w:p>
    <w:tbl>
      <w:tblPr>
        <w:tblW w:w="9468" w:type="dxa"/>
        <w:tblLook w:val="01E0" w:firstRow="1" w:lastRow="1" w:firstColumn="1" w:lastColumn="1" w:noHBand="0" w:noVBand="0"/>
      </w:tblPr>
      <w:tblGrid>
        <w:gridCol w:w="287"/>
        <w:gridCol w:w="1297"/>
        <w:gridCol w:w="287"/>
        <w:gridCol w:w="2713"/>
        <w:gridCol w:w="182"/>
        <w:gridCol w:w="4415"/>
        <w:gridCol w:w="287"/>
      </w:tblGrid>
      <w:tr w:rsidR="007B6DAE" w:rsidRPr="00AD49D7" w14:paraId="37FA944B" w14:textId="77777777">
        <w:tc>
          <w:tcPr>
            <w:tcW w:w="4584" w:type="dxa"/>
            <w:gridSpan w:val="4"/>
          </w:tcPr>
          <w:p w14:paraId="354ADC8C" w14:textId="77777777" w:rsidR="007B6DAE" w:rsidRPr="00AD49D7" w:rsidRDefault="007B6DAE" w:rsidP="006A4703">
            <w:pPr>
              <w:rPr>
                <w:rFonts w:ascii="Garamond" w:hAnsi="Garamond"/>
                <w:sz w:val="24"/>
                <w:szCs w:val="24"/>
                <w:u w:val="single"/>
              </w:rPr>
            </w:pPr>
          </w:p>
        </w:tc>
        <w:tc>
          <w:tcPr>
            <w:tcW w:w="4884" w:type="dxa"/>
            <w:gridSpan w:val="3"/>
          </w:tcPr>
          <w:p w14:paraId="13FBA521" w14:textId="77777777" w:rsidR="007B6DAE" w:rsidRPr="00AD49D7" w:rsidRDefault="007B6DAE">
            <w:pPr>
              <w:rPr>
                <w:rFonts w:ascii="Garamond" w:hAnsi="Garamond"/>
                <w:sz w:val="24"/>
                <w:szCs w:val="24"/>
                <w:u w:val="single"/>
              </w:rPr>
            </w:pPr>
          </w:p>
        </w:tc>
      </w:tr>
      <w:tr w:rsidR="00E9781B" w:rsidRPr="00AD49D7" w14:paraId="6C0F0E0B" w14:textId="77777777">
        <w:tc>
          <w:tcPr>
            <w:tcW w:w="4584" w:type="dxa"/>
            <w:gridSpan w:val="4"/>
          </w:tcPr>
          <w:p w14:paraId="2317C8A8" w14:textId="77777777" w:rsidR="00E9781B" w:rsidRPr="00AD49D7" w:rsidRDefault="00E9781B" w:rsidP="00E9781B">
            <w:pPr>
              <w:rPr>
                <w:rFonts w:ascii="Garamond" w:hAnsi="Garamond"/>
                <w:sz w:val="24"/>
                <w:szCs w:val="24"/>
              </w:rPr>
            </w:pPr>
            <w:r w:rsidRPr="00AD49D7">
              <w:rPr>
                <w:rFonts w:ascii="Garamond" w:hAnsi="Garamond"/>
                <w:b/>
                <w:sz w:val="24"/>
                <w:szCs w:val="24"/>
              </w:rPr>
              <w:t>Office Contact Information</w:t>
            </w:r>
          </w:p>
        </w:tc>
        <w:tc>
          <w:tcPr>
            <w:tcW w:w="4884" w:type="dxa"/>
            <w:gridSpan w:val="3"/>
          </w:tcPr>
          <w:p w14:paraId="62798C7A" w14:textId="7D603164" w:rsidR="00E9781B" w:rsidRPr="00AD49D7" w:rsidRDefault="00E9781B" w:rsidP="00A6302B">
            <w:pPr>
              <w:jc w:val="right"/>
              <w:rPr>
                <w:rFonts w:ascii="Garamond" w:hAnsi="Garamond"/>
                <w:sz w:val="24"/>
                <w:szCs w:val="24"/>
              </w:rPr>
            </w:pPr>
            <w:r w:rsidRPr="00AD49D7">
              <w:rPr>
                <w:rFonts w:ascii="Garamond" w:hAnsi="Garamond"/>
                <w:b/>
                <w:sz w:val="24"/>
                <w:szCs w:val="24"/>
              </w:rPr>
              <w:t xml:space="preserve">Home Contact Information </w:t>
            </w:r>
          </w:p>
        </w:tc>
      </w:tr>
      <w:tr w:rsidR="00E9781B" w:rsidRPr="007C7611" w14:paraId="4C0B6521" w14:textId="77777777">
        <w:tc>
          <w:tcPr>
            <w:tcW w:w="4584" w:type="dxa"/>
            <w:gridSpan w:val="4"/>
          </w:tcPr>
          <w:p w14:paraId="189AA127" w14:textId="1F4B3CBD" w:rsidR="00E9781B" w:rsidRPr="007C7611" w:rsidRDefault="00B374C6" w:rsidP="0028378E">
            <w:pPr>
              <w:rPr>
                <w:rFonts w:ascii="Garamond" w:hAnsi="Garamond"/>
                <w:sz w:val="24"/>
                <w:szCs w:val="24"/>
              </w:rPr>
            </w:pPr>
            <w:r>
              <w:rPr>
                <w:rFonts w:ascii="Garamond" w:hAnsi="Garamond"/>
                <w:sz w:val="24"/>
                <w:szCs w:val="24"/>
              </w:rPr>
              <w:t>316 Oak Hall</w:t>
            </w:r>
          </w:p>
        </w:tc>
        <w:tc>
          <w:tcPr>
            <w:tcW w:w="4884" w:type="dxa"/>
            <w:gridSpan w:val="3"/>
          </w:tcPr>
          <w:p w14:paraId="7F251108" w14:textId="6ACCA73A" w:rsidR="00E9781B" w:rsidRPr="007C7611" w:rsidRDefault="00B374C6" w:rsidP="00BD02B8">
            <w:pPr>
              <w:jc w:val="right"/>
              <w:rPr>
                <w:rFonts w:ascii="Garamond" w:hAnsi="Garamond"/>
                <w:sz w:val="24"/>
                <w:szCs w:val="24"/>
              </w:rPr>
            </w:pPr>
            <w:r>
              <w:rPr>
                <w:rFonts w:ascii="Garamond" w:hAnsi="Garamond"/>
                <w:sz w:val="24"/>
                <w:szCs w:val="24"/>
              </w:rPr>
              <w:t>380 Daleville Rd #32</w:t>
            </w:r>
          </w:p>
        </w:tc>
      </w:tr>
      <w:tr w:rsidR="00E9781B" w:rsidRPr="007C7611" w14:paraId="7615CDA9" w14:textId="77777777">
        <w:tc>
          <w:tcPr>
            <w:tcW w:w="4584" w:type="dxa"/>
            <w:gridSpan w:val="4"/>
          </w:tcPr>
          <w:p w14:paraId="5879396C" w14:textId="77777777" w:rsidR="00B374C6" w:rsidRPr="00B374C6" w:rsidRDefault="00B374C6" w:rsidP="00B374C6">
            <w:pPr>
              <w:rPr>
                <w:rFonts w:ascii="Garamond" w:hAnsi="Garamond"/>
                <w:sz w:val="24"/>
                <w:szCs w:val="24"/>
              </w:rPr>
            </w:pPr>
            <w:r w:rsidRPr="00B374C6">
              <w:rPr>
                <w:rFonts w:ascii="Garamond" w:hAnsi="Garamond"/>
                <w:sz w:val="24"/>
                <w:szCs w:val="24"/>
              </w:rPr>
              <w:t>365 Fairfield Way, U-1063</w:t>
            </w:r>
          </w:p>
          <w:p w14:paraId="6C337B54" w14:textId="3D9CD899" w:rsidR="00E9781B" w:rsidRPr="007C7611" w:rsidRDefault="00B374C6" w:rsidP="00B374C6">
            <w:pPr>
              <w:rPr>
                <w:rFonts w:ascii="Garamond" w:hAnsi="Garamond"/>
                <w:sz w:val="24"/>
                <w:szCs w:val="24"/>
              </w:rPr>
            </w:pPr>
            <w:r w:rsidRPr="00B374C6">
              <w:rPr>
                <w:rFonts w:ascii="Garamond" w:hAnsi="Garamond"/>
                <w:sz w:val="24"/>
                <w:szCs w:val="24"/>
              </w:rPr>
              <w:t>Storrs, CT 06269-1063</w:t>
            </w:r>
          </w:p>
        </w:tc>
        <w:tc>
          <w:tcPr>
            <w:tcW w:w="4884" w:type="dxa"/>
            <w:gridSpan w:val="3"/>
          </w:tcPr>
          <w:p w14:paraId="0E0F2547" w14:textId="331C537E" w:rsidR="00E9781B" w:rsidRPr="007C7611" w:rsidRDefault="00B374C6" w:rsidP="00E9781B">
            <w:pPr>
              <w:jc w:val="right"/>
              <w:rPr>
                <w:rFonts w:ascii="Garamond" w:hAnsi="Garamond"/>
                <w:sz w:val="24"/>
                <w:szCs w:val="24"/>
              </w:rPr>
            </w:pPr>
            <w:r>
              <w:rPr>
                <w:rFonts w:ascii="Garamond" w:hAnsi="Garamond"/>
                <w:sz w:val="24"/>
                <w:szCs w:val="24"/>
              </w:rPr>
              <w:t>Willington, CT 06279</w:t>
            </w:r>
          </w:p>
        </w:tc>
      </w:tr>
      <w:tr w:rsidR="00A6302B" w:rsidRPr="007C7611" w14:paraId="636B5B49" w14:textId="77777777">
        <w:trPr>
          <w:gridAfter w:val="3"/>
          <w:wAfter w:w="4884" w:type="dxa"/>
        </w:trPr>
        <w:tc>
          <w:tcPr>
            <w:tcW w:w="4584" w:type="dxa"/>
            <w:gridSpan w:val="4"/>
          </w:tcPr>
          <w:p w14:paraId="3D7FC76D" w14:textId="000F1ACF" w:rsidR="00A6302B" w:rsidRPr="007C7611" w:rsidRDefault="00BD02B8" w:rsidP="00BD02B8">
            <w:pPr>
              <w:rPr>
                <w:rFonts w:ascii="Garamond" w:hAnsi="Garamond"/>
                <w:sz w:val="24"/>
                <w:szCs w:val="24"/>
              </w:rPr>
            </w:pPr>
            <w:r>
              <w:rPr>
                <w:rFonts w:ascii="Garamond" w:hAnsi="Garamond"/>
                <w:sz w:val="24"/>
                <w:szCs w:val="24"/>
              </w:rPr>
              <w:t>Phone</w:t>
            </w:r>
            <w:r w:rsidR="00A6302B" w:rsidRPr="007C7611">
              <w:rPr>
                <w:rFonts w:ascii="Garamond" w:hAnsi="Garamond"/>
                <w:sz w:val="24"/>
                <w:szCs w:val="24"/>
              </w:rPr>
              <w:t>:</w:t>
            </w:r>
            <w:r w:rsidR="00A6302B">
              <w:rPr>
                <w:rFonts w:ascii="Garamond" w:hAnsi="Garamond"/>
                <w:sz w:val="24"/>
                <w:szCs w:val="24"/>
              </w:rPr>
              <w:t xml:space="preserve"> </w:t>
            </w:r>
            <w:r w:rsidR="00B374C6">
              <w:rPr>
                <w:rFonts w:ascii="Helvetica" w:hAnsi="Helvetica" w:cs="Helvetica"/>
                <w:color w:val="000000"/>
                <w:sz w:val="21"/>
                <w:szCs w:val="21"/>
                <w:shd w:val="clear" w:color="auto" w:fill="FFFFFF"/>
              </w:rPr>
              <w:t>860-486-3022</w:t>
            </w:r>
          </w:p>
        </w:tc>
      </w:tr>
      <w:tr w:rsidR="007B6DAE" w:rsidRPr="007C7611" w14:paraId="35DA7A8E" w14:textId="77777777">
        <w:tc>
          <w:tcPr>
            <w:tcW w:w="9468" w:type="dxa"/>
            <w:gridSpan w:val="7"/>
          </w:tcPr>
          <w:p w14:paraId="2899F861" w14:textId="77777777" w:rsidR="007B6DAE" w:rsidRPr="007C7611" w:rsidRDefault="007B6DAE">
            <w:pPr>
              <w:rPr>
                <w:rFonts w:ascii="Garamond" w:hAnsi="Garamond"/>
                <w:sz w:val="24"/>
                <w:szCs w:val="24"/>
              </w:rPr>
            </w:pPr>
          </w:p>
        </w:tc>
      </w:tr>
      <w:tr w:rsidR="00B14902" w:rsidRPr="00BB46F9" w14:paraId="162C6C9C" w14:textId="77777777" w:rsidTr="00B14902">
        <w:trPr>
          <w:trHeight w:val="62"/>
        </w:trPr>
        <w:tc>
          <w:tcPr>
            <w:tcW w:w="9468" w:type="dxa"/>
            <w:gridSpan w:val="7"/>
          </w:tcPr>
          <w:p w14:paraId="5A7F3436" w14:textId="205B6349" w:rsidR="00B14902" w:rsidRDefault="00B14902" w:rsidP="00B14902">
            <w:pPr>
              <w:rPr>
                <w:rFonts w:ascii="Garamond" w:hAnsi="Garamond"/>
                <w:sz w:val="24"/>
                <w:szCs w:val="24"/>
              </w:rPr>
            </w:pPr>
            <w:r w:rsidRPr="00BB46F9">
              <w:rPr>
                <w:rFonts w:ascii="Garamond" w:hAnsi="Garamond"/>
                <w:b/>
                <w:sz w:val="24"/>
                <w:szCs w:val="24"/>
              </w:rPr>
              <w:t>Personal Information:</w:t>
            </w:r>
            <w:r w:rsidRPr="007C7611">
              <w:rPr>
                <w:rFonts w:ascii="Garamond" w:hAnsi="Garamond"/>
                <w:sz w:val="24"/>
                <w:szCs w:val="24"/>
              </w:rPr>
              <w:t xml:space="preserve"> </w:t>
            </w:r>
            <w:r w:rsidR="00900745">
              <w:rPr>
                <w:rFonts w:ascii="Garamond" w:hAnsi="Garamond"/>
                <w:sz w:val="24"/>
                <w:szCs w:val="24"/>
              </w:rPr>
              <w:t>DOB</w:t>
            </w:r>
            <w:r>
              <w:rPr>
                <w:rFonts w:ascii="Garamond" w:hAnsi="Garamond"/>
                <w:sz w:val="24"/>
                <w:szCs w:val="24"/>
              </w:rPr>
              <w:t xml:space="preserve">: </w:t>
            </w:r>
            <w:r w:rsidR="00B374C6">
              <w:rPr>
                <w:rFonts w:ascii="Garamond" w:hAnsi="Garamond"/>
                <w:sz w:val="24"/>
                <w:szCs w:val="24"/>
              </w:rPr>
              <w:t>May 23</w:t>
            </w:r>
            <w:r w:rsidRPr="007C7611">
              <w:rPr>
                <w:rFonts w:ascii="Garamond" w:hAnsi="Garamond"/>
                <w:sz w:val="24"/>
                <w:szCs w:val="24"/>
              </w:rPr>
              <w:t xml:space="preserve">, </w:t>
            </w:r>
            <w:r>
              <w:rPr>
                <w:rFonts w:ascii="Garamond" w:hAnsi="Garamond"/>
                <w:sz w:val="24"/>
                <w:szCs w:val="24"/>
              </w:rPr>
              <w:t>19</w:t>
            </w:r>
            <w:r w:rsidR="00B374C6">
              <w:rPr>
                <w:rFonts w:ascii="Garamond" w:hAnsi="Garamond"/>
                <w:sz w:val="24"/>
                <w:szCs w:val="24"/>
              </w:rPr>
              <w:t>90</w:t>
            </w:r>
            <w:r>
              <w:rPr>
                <w:rFonts w:ascii="Garamond" w:hAnsi="Garamond"/>
                <w:sz w:val="24"/>
                <w:szCs w:val="24"/>
              </w:rPr>
              <w:t>. C</w:t>
            </w:r>
            <w:r w:rsidRPr="007C7611">
              <w:rPr>
                <w:rFonts w:ascii="Garamond" w:hAnsi="Garamond"/>
                <w:sz w:val="24"/>
                <w:szCs w:val="24"/>
              </w:rPr>
              <w:t>itizenship</w:t>
            </w:r>
            <w:r>
              <w:rPr>
                <w:rFonts w:ascii="Garamond" w:hAnsi="Garamond"/>
                <w:sz w:val="24"/>
                <w:szCs w:val="24"/>
              </w:rPr>
              <w:t xml:space="preserve">: </w:t>
            </w:r>
            <w:r w:rsidR="00B374C6">
              <w:rPr>
                <w:rFonts w:ascii="Garamond" w:hAnsi="Garamond"/>
                <w:sz w:val="24"/>
                <w:szCs w:val="24"/>
              </w:rPr>
              <w:t>United States</w:t>
            </w:r>
          </w:p>
          <w:p w14:paraId="62CE0F43" w14:textId="22455FF6" w:rsidR="00897800" w:rsidRPr="00BB46F9" w:rsidRDefault="00897800" w:rsidP="00897800">
            <w:pPr>
              <w:rPr>
                <w:rFonts w:ascii="Garamond" w:hAnsi="Garamond"/>
                <w:sz w:val="24"/>
                <w:szCs w:val="24"/>
              </w:rPr>
            </w:pPr>
          </w:p>
        </w:tc>
      </w:tr>
      <w:tr w:rsidR="007B6DAE" w:rsidRPr="007C7611" w14:paraId="17D487CA" w14:textId="77777777" w:rsidTr="0038723F">
        <w:trPr>
          <w:trHeight w:val="62"/>
        </w:trPr>
        <w:tc>
          <w:tcPr>
            <w:tcW w:w="9468" w:type="dxa"/>
            <w:gridSpan w:val="7"/>
          </w:tcPr>
          <w:p w14:paraId="59045F9A" w14:textId="43D21390" w:rsidR="007B6DAE" w:rsidRPr="00BB46F9" w:rsidRDefault="007C2F42">
            <w:pPr>
              <w:rPr>
                <w:rFonts w:ascii="Garamond" w:hAnsi="Garamond"/>
                <w:sz w:val="24"/>
                <w:szCs w:val="24"/>
              </w:rPr>
            </w:pPr>
            <w:r>
              <w:rPr>
                <w:rFonts w:ascii="Garamond" w:hAnsi="Garamond"/>
                <w:b/>
                <w:sz w:val="24"/>
                <w:szCs w:val="24"/>
              </w:rPr>
              <w:t>Education:</w:t>
            </w:r>
          </w:p>
        </w:tc>
      </w:tr>
      <w:tr w:rsidR="007B6DAE" w:rsidRPr="007C7611" w14:paraId="1B9FA5C7" w14:textId="77777777">
        <w:trPr>
          <w:trHeight w:val="262"/>
        </w:trPr>
        <w:tc>
          <w:tcPr>
            <w:tcW w:w="287" w:type="dxa"/>
          </w:tcPr>
          <w:p w14:paraId="4F6A18FD" w14:textId="77777777" w:rsidR="007B6DAE" w:rsidRPr="007C7611" w:rsidRDefault="007B6DAE">
            <w:pPr>
              <w:rPr>
                <w:rFonts w:ascii="Garamond" w:hAnsi="Garamond"/>
                <w:sz w:val="24"/>
                <w:szCs w:val="24"/>
              </w:rPr>
            </w:pPr>
          </w:p>
        </w:tc>
        <w:tc>
          <w:tcPr>
            <w:tcW w:w="9181" w:type="dxa"/>
            <w:gridSpan w:val="6"/>
          </w:tcPr>
          <w:p w14:paraId="344D7C20" w14:textId="214AB0EB" w:rsidR="008C13CD" w:rsidRPr="007C7611" w:rsidRDefault="00BB46F9" w:rsidP="00B374C6">
            <w:pPr>
              <w:rPr>
                <w:rFonts w:ascii="Garamond" w:hAnsi="Garamond"/>
                <w:sz w:val="24"/>
                <w:szCs w:val="24"/>
              </w:rPr>
            </w:pPr>
            <w:r>
              <w:rPr>
                <w:rFonts w:ascii="Garamond" w:hAnsi="Garamond"/>
                <w:sz w:val="24"/>
                <w:szCs w:val="24"/>
              </w:rPr>
              <w:t xml:space="preserve">The </w:t>
            </w:r>
            <w:r w:rsidR="007B6DAE" w:rsidRPr="007C7611">
              <w:rPr>
                <w:rFonts w:ascii="Garamond" w:hAnsi="Garamond"/>
                <w:sz w:val="24"/>
                <w:szCs w:val="24"/>
              </w:rPr>
              <w:t>University</w:t>
            </w:r>
            <w:r w:rsidR="007C7611">
              <w:rPr>
                <w:rFonts w:ascii="Garamond" w:hAnsi="Garamond"/>
                <w:sz w:val="24"/>
                <w:szCs w:val="24"/>
              </w:rPr>
              <w:t xml:space="preserve"> of C</w:t>
            </w:r>
            <w:r w:rsidR="00B374C6">
              <w:rPr>
                <w:rFonts w:ascii="Garamond" w:hAnsi="Garamond"/>
                <w:sz w:val="24"/>
                <w:szCs w:val="24"/>
              </w:rPr>
              <w:t>onnecticut</w:t>
            </w:r>
            <w:r w:rsidR="007B6DAE" w:rsidRPr="007C7611">
              <w:rPr>
                <w:rFonts w:ascii="Garamond" w:hAnsi="Garamond"/>
                <w:sz w:val="24"/>
                <w:szCs w:val="24"/>
              </w:rPr>
              <w:t xml:space="preserve">, </w:t>
            </w:r>
            <w:r w:rsidR="00900745">
              <w:rPr>
                <w:rFonts w:ascii="Garamond" w:hAnsi="Garamond"/>
                <w:sz w:val="24"/>
                <w:szCs w:val="24"/>
              </w:rPr>
              <w:t>20</w:t>
            </w:r>
            <w:r w:rsidR="00B374C6">
              <w:rPr>
                <w:rFonts w:ascii="Garamond" w:hAnsi="Garamond"/>
                <w:sz w:val="24"/>
                <w:szCs w:val="24"/>
              </w:rPr>
              <w:t>13</w:t>
            </w:r>
            <w:r w:rsidR="007B6DAE" w:rsidRPr="007C7611">
              <w:rPr>
                <w:rFonts w:ascii="Garamond" w:hAnsi="Garamond"/>
                <w:sz w:val="24"/>
                <w:szCs w:val="24"/>
              </w:rPr>
              <w:t xml:space="preserve"> to present</w:t>
            </w:r>
          </w:p>
        </w:tc>
      </w:tr>
      <w:tr w:rsidR="007B6DAE" w:rsidRPr="007C7611" w14:paraId="7677D449" w14:textId="77777777">
        <w:trPr>
          <w:trHeight w:val="258"/>
        </w:trPr>
        <w:tc>
          <w:tcPr>
            <w:tcW w:w="287" w:type="dxa"/>
          </w:tcPr>
          <w:p w14:paraId="56A78813" w14:textId="77777777" w:rsidR="007B6DAE" w:rsidRPr="007C7611" w:rsidRDefault="007B6DAE">
            <w:pPr>
              <w:rPr>
                <w:rFonts w:ascii="Garamond" w:hAnsi="Garamond"/>
                <w:sz w:val="24"/>
                <w:szCs w:val="24"/>
              </w:rPr>
            </w:pPr>
          </w:p>
        </w:tc>
        <w:tc>
          <w:tcPr>
            <w:tcW w:w="9181" w:type="dxa"/>
            <w:gridSpan w:val="6"/>
          </w:tcPr>
          <w:p w14:paraId="7984CB4A" w14:textId="4971EF3A" w:rsidR="007B6DAE" w:rsidRPr="007C7611" w:rsidRDefault="00AF1DA4" w:rsidP="00B374C6">
            <w:pPr>
              <w:rPr>
                <w:rFonts w:ascii="Garamond" w:hAnsi="Garamond"/>
                <w:sz w:val="24"/>
                <w:szCs w:val="24"/>
              </w:rPr>
            </w:pPr>
            <w:r w:rsidRPr="00BB46F9">
              <w:rPr>
                <w:rFonts w:ascii="Garamond" w:hAnsi="Garamond"/>
                <w:sz w:val="24"/>
                <w:szCs w:val="24"/>
              </w:rPr>
              <w:t>Ph.D. Candidate in</w:t>
            </w:r>
            <w:r w:rsidR="007C7611" w:rsidRPr="00AB6323">
              <w:rPr>
                <w:rFonts w:ascii="Garamond" w:hAnsi="Garamond"/>
                <w:sz w:val="24"/>
                <w:szCs w:val="24"/>
              </w:rPr>
              <w:t xml:space="preserve"> Economics</w:t>
            </w:r>
            <w:r w:rsidRPr="00AB6323">
              <w:rPr>
                <w:rFonts w:ascii="Garamond" w:hAnsi="Garamond"/>
                <w:sz w:val="24"/>
                <w:szCs w:val="24"/>
              </w:rPr>
              <w:t xml:space="preserve"> </w:t>
            </w:r>
          </w:p>
        </w:tc>
      </w:tr>
      <w:tr w:rsidR="007B6DAE" w:rsidRPr="007C7611" w14:paraId="61095EFF" w14:textId="77777777">
        <w:trPr>
          <w:trHeight w:val="258"/>
        </w:trPr>
        <w:tc>
          <w:tcPr>
            <w:tcW w:w="287" w:type="dxa"/>
          </w:tcPr>
          <w:p w14:paraId="6E17DED7" w14:textId="77777777" w:rsidR="007B6DAE" w:rsidRPr="007C7611" w:rsidRDefault="007B6DAE">
            <w:pPr>
              <w:rPr>
                <w:rFonts w:ascii="Garamond" w:hAnsi="Garamond"/>
                <w:sz w:val="24"/>
                <w:szCs w:val="24"/>
              </w:rPr>
            </w:pPr>
          </w:p>
        </w:tc>
        <w:tc>
          <w:tcPr>
            <w:tcW w:w="9181" w:type="dxa"/>
            <w:gridSpan w:val="6"/>
          </w:tcPr>
          <w:p w14:paraId="5D02DF45" w14:textId="0FDA1D3A" w:rsidR="0038723F" w:rsidRDefault="007B6DAE" w:rsidP="00A740C6">
            <w:pPr>
              <w:rPr>
                <w:rFonts w:ascii="Garamond" w:hAnsi="Garamond"/>
                <w:sz w:val="24"/>
                <w:szCs w:val="24"/>
              </w:rPr>
            </w:pPr>
            <w:r w:rsidRPr="00BB46F9">
              <w:rPr>
                <w:rFonts w:ascii="Garamond" w:hAnsi="Garamond"/>
                <w:sz w:val="24"/>
                <w:szCs w:val="24"/>
              </w:rPr>
              <w:t>Expected Completion Date</w:t>
            </w:r>
            <w:r w:rsidRPr="007C7611">
              <w:rPr>
                <w:rFonts w:ascii="Garamond" w:hAnsi="Garamond"/>
                <w:sz w:val="24"/>
                <w:szCs w:val="24"/>
              </w:rPr>
              <w:t xml:space="preserve">: </w:t>
            </w:r>
            <w:r w:rsidR="00B374C6">
              <w:rPr>
                <w:rFonts w:ascii="Garamond" w:hAnsi="Garamond"/>
                <w:sz w:val="24"/>
                <w:szCs w:val="24"/>
              </w:rPr>
              <w:t>May</w:t>
            </w:r>
            <w:r w:rsidRPr="007C7611">
              <w:rPr>
                <w:rFonts w:ascii="Garamond" w:hAnsi="Garamond"/>
                <w:sz w:val="24"/>
                <w:szCs w:val="24"/>
              </w:rPr>
              <w:t xml:space="preserve"> </w:t>
            </w:r>
            <w:r w:rsidR="00024AE9">
              <w:rPr>
                <w:rFonts w:ascii="Garamond" w:hAnsi="Garamond"/>
                <w:sz w:val="24"/>
                <w:szCs w:val="24"/>
              </w:rPr>
              <w:t>201</w:t>
            </w:r>
            <w:r w:rsidR="00B374C6">
              <w:rPr>
                <w:rFonts w:ascii="Garamond" w:hAnsi="Garamond"/>
                <w:sz w:val="24"/>
                <w:szCs w:val="24"/>
              </w:rPr>
              <w:t>8</w:t>
            </w:r>
          </w:p>
          <w:p w14:paraId="523C4A3C" w14:textId="3DA00274" w:rsidR="007C2F42" w:rsidRDefault="007C2F42" w:rsidP="00A740C6">
            <w:pPr>
              <w:rPr>
                <w:rFonts w:ascii="Garamond" w:hAnsi="Garamond"/>
                <w:sz w:val="24"/>
                <w:szCs w:val="24"/>
              </w:rPr>
            </w:pPr>
          </w:p>
          <w:p w14:paraId="24CCD4B8" w14:textId="20A2EC51" w:rsidR="007C2F42" w:rsidRPr="007C7611" w:rsidRDefault="00B374C6" w:rsidP="00B374C6">
            <w:pPr>
              <w:rPr>
                <w:rFonts w:ascii="Garamond" w:hAnsi="Garamond"/>
                <w:sz w:val="24"/>
                <w:szCs w:val="24"/>
              </w:rPr>
            </w:pPr>
            <w:r>
              <w:rPr>
                <w:rFonts w:ascii="Garamond" w:hAnsi="Garamond"/>
                <w:sz w:val="24"/>
                <w:szCs w:val="24"/>
              </w:rPr>
              <w:t>B.A</w:t>
            </w:r>
            <w:r w:rsidR="00865EF6">
              <w:rPr>
                <w:rFonts w:ascii="Garamond" w:hAnsi="Garamond"/>
                <w:sz w:val="24"/>
                <w:szCs w:val="24"/>
              </w:rPr>
              <w:t xml:space="preserve">. in Economics, </w:t>
            </w:r>
            <w:r>
              <w:rPr>
                <w:rFonts w:ascii="Garamond" w:hAnsi="Garamond"/>
                <w:sz w:val="24"/>
                <w:szCs w:val="24"/>
              </w:rPr>
              <w:t>Westmont College</w:t>
            </w:r>
            <w:r w:rsidR="00865EF6">
              <w:rPr>
                <w:rFonts w:ascii="Garamond" w:hAnsi="Garamond"/>
                <w:sz w:val="24"/>
                <w:szCs w:val="24"/>
              </w:rPr>
              <w:t xml:space="preserve">, </w:t>
            </w:r>
            <w:r>
              <w:rPr>
                <w:rFonts w:ascii="Garamond" w:hAnsi="Garamond"/>
                <w:sz w:val="24"/>
                <w:szCs w:val="24"/>
              </w:rPr>
              <w:t>2011</w:t>
            </w:r>
          </w:p>
        </w:tc>
      </w:tr>
      <w:tr w:rsidR="007B6DAE" w:rsidRPr="007C7611" w14:paraId="2548372B" w14:textId="77777777">
        <w:trPr>
          <w:trHeight w:val="258"/>
        </w:trPr>
        <w:tc>
          <w:tcPr>
            <w:tcW w:w="287" w:type="dxa"/>
          </w:tcPr>
          <w:p w14:paraId="3F8E59C4" w14:textId="77777777" w:rsidR="007B6DAE" w:rsidRPr="007C7611" w:rsidRDefault="007B6DAE">
            <w:pPr>
              <w:rPr>
                <w:rFonts w:ascii="Garamond" w:hAnsi="Garamond"/>
                <w:sz w:val="24"/>
                <w:szCs w:val="24"/>
              </w:rPr>
            </w:pPr>
          </w:p>
        </w:tc>
        <w:tc>
          <w:tcPr>
            <w:tcW w:w="9181" w:type="dxa"/>
            <w:gridSpan w:val="6"/>
          </w:tcPr>
          <w:p w14:paraId="53169B14" w14:textId="77777777" w:rsidR="007B6DAE" w:rsidRPr="007C7611" w:rsidRDefault="007B6DAE">
            <w:pPr>
              <w:rPr>
                <w:rFonts w:ascii="Garamond" w:hAnsi="Garamond"/>
                <w:sz w:val="24"/>
                <w:szCs w:val="24"/>
                <w:u w:val="single"/>
              </w:rPr>
            </w:pPr>
          </w:p>
        </w:tc>
      </w:tr>
      <w:tr w:rsidR="007B6DAE" w:rsidRPr="007C7611" w14:paraId="591714E2" w14:textId="77777777">
        <w:trPr>
          <w:trHeight w:val="258"/>
        </w:trPr>
        <w:tc>
          <w:tcPr>
            <w:tcW w:w="287" w:type="dxa"/>
          </w:tcPr>
          <w:p w14:paraId="5E792B7C" w14:textId="77777777" w:rsidR="007B6DAE" w:rsidRPr="007C7611" w:rsidRDefault="007B6DAE">
            <w:pPr>
              <w:rPr>
                <w:rFonts w:ascii="Garamond" w:hAnsi="Garamond"/>
                <w:sz w:val="24"/>
                <w:szCs w:val="24"/>
              </w:rPr>
            </w:pPr>
          </w:p>
        </w:tc>
        <w:tc>
          <w:tcPr>
            <w:tcW w:w="9181" w:type="dxa"/>
            <w:gridSpan w:val="6"/>
          </w:tcPr>
          <w:p w14:paraId="69861D18" w14:textId="77777777" w:rsidR="007B6DAE" w:rsidRPr="007C7611" w:rsidRDefault="007B6DAE">
            <w:pPr>
              <w:rPr>
                <w:rFonts w:ascii="Garamond" w:hAnsi="Garamond"/>
                <w:sz w:val="24"/>
                <w:szCs w:val="24"/>
              </w:rPr>
            </w:pPr>
            <w:r w:rsidRPr="00BB46F9">
              <w:rPr>
                <w:rFonts w:ascii="Garamond" w:hAnsi="Garamond"/>
                <w:sz w:val="24"/>
                <w:szCs w:val="24"/>
              </w:rPr>
              <w:t>References</w:t>
            </w:r>
            <w:r w:rsidRPr="007C7611">
              <w:rPr>
                <w:rFonts w:ascii="Garamond" w:hAnsi="Garamond"/>
                <w:sz w:val="24"/>
                <w:szCs w:val="24"/>
              </w:rPr>
              <w:t>:</w:t>
            </w:r>
          </w:p>
        </w:tc>
      </w:tr>
      <w:tr w:rsidR="007B6DAE" w:rsidRPr="007C7611" w14:paraId="7D0A9229" w14:textId="77777777">
        <w:trPr>
          <w:trHeight w:val="258"/>
        </w:trPr>
        <w:tc>
          <w:tcPr>
            <w:tcW w:w="287" w:type="dxa"/>
          </w:tcPr>
          <w:p w14:paraId="658902E8" w14:textId="77777777" w:rsidR="007B6DAE" w:rsidRPr="007C7611" w:rsidRDefault="007B6DAE">
            <w:pPr>
              <w:rPr>
                <w:rFonts w:ascii="Garamond" w:hAnsi="Garamond"/>
                <w:sz w:val="24"/>
                <w:szCs w:val="24"/>
              </w:rPr>
            </w:pPr>
          </w:p>
        </w:tc>
        <w:tc>
          <w:tcPr>
            <w:tcW w:w="4479" w:type="dxa"/>
            <w:gridSpan w:val="4"/>
          </w:tcPr>
          <w:p w14:paraId="54417232" w14:textId="60A8913B" w:rsidR="007B6DAE" w:rsidRPr="007C7611" w:rsidRDefault="00B374C6" w:rsidP="00865EF6">
            <w:pPr>
              <w:rPr>
                <w:rFonts w:ascii="Garamond" w:hAnsi="Garamond"/>
                <w:sz w:val="24"/>
                <w:szCs w:val="24"/>
              </w:rPr>
            </w:pPr>
            <w:r w:rsidRPr="00B374C6">
              <w:rPr>
                <w:rFonts w:ascii="Garamond" w:hAnsi="Garamond"/>
                <w:sz w:val="24"/>
                <w:szCs w:val="24"/>
              </w:rPr>
              <w:t>Professor Kai Zhao</w:t>
            </w:r>
            <w:r>
              <w:rPr>
                <w:rFonts w:ascii="Garamond" w:hAnsi="Garamond"/>
                <w:sz w:val="24"/>
                <w:szCs w:val="24"/>
              </w:rPr>
              <w:t xml:space="preserve"> (Chair)</w:t>
            </w:r>
          </w:p>
        </w:tc>
        <w:tc>
          <w:tcPr>
            <w:tcW w:w="4702" w:type="dxa"/>
            <w:gridSpan w:val="2"/>
          </w:tcPr>
          <w:p w14:paraId="6DC6C1ED" w14:textId="192F2D63" w:rsidR="007B6DAE" w:rsidRPr="007C7611" w:rsidRDefault="007B6DAE" w:rsidP="00B374C6">
            <w:pPr>
              <w:rPr>
                <w:rFonts w:ascii="Garamond" w:hAnsi="Garamond"/>
                <w:sz w:val="24"/>
                <w:szCs w:val="24"/>
              </w:rPr>
            </w:pPr>
            <w:r w:rsidRPr="007C7611">
              <w:rPr>
                <w:rFonts w:ascii="Garamond" w:hAnsi="Garamond"/>
                <w:sz w:val="24"/>
                <w:szCs w:val="24"/>
              </w:rPr>
              <w:t xml:space="preserve">Professor </w:t>
            </w:r>
            <w:r w:rsidR="00B374C6">
              <w:rPr>
                <w:rFonts w:ascii="Garamond" w:hAnsi="Garamond"/>
                <w:sz w:val="24"/>
                <w:szCs w:val="24"/>
              </w:rPr>
              <w:t>Hyun Lee</w:t>
            </w:r>
          </w:p>
        </w:tc>
      </w:tr>
      <w:tr w:rsidR="00865EF6" w:rsidRPr="007C7611" w14:paraId="3BB0C31E" w14:textId="77777777">
        <w:trPr>
          <w:trHeight w:val="258"/>
        </w:trPr>
        <w:tc>
          <w:tcPr>
            <w:tcW w:w="287" w:type="dxa"/>
          </w:tcPr>
          <w:p w14:paraId="199632D9" w14:textId="77777777" w:rsidR="00865EF6" w:rsidRPr="007C7611" w:rsidRDefault="00865EF6">
            <w:pPr>
              <w:rPr>
                <w:rFonts w:ascii="Garamond" w:hAnsi="Garamond"/>
                <w:sz w:val="24"/>
                <w:szCs w:val="24"/>
              </w:rPr>
            </w:pPr>
          </w:p>
        </w:tc>
        <w:tc>
          <w:tcPr>
            <w:tcW w:w="4479" w:type="dxa"/>
            <w:gridSpan w:val="4"/>
          </w:tcPr>
          <w:p w14:paraId="32295D5D" w14:textId="289BB671" w:rsidR="00865EF6" w:rsidRPr="007C7611" w:rsidRDefault="00865EF6" w:rsidP="00B374C6">
            <w:pPr>
              <w:rPr>
                <w:rFonts w:ascii="Garamond" w:hAnsi="Garamond"/>
                <w:sz w:val="24"/>
                <w:szCs w:val="24"/>
              </w:rPr>
            </w:pPr>
            <w:r>
              <w:rPr>
                <w:rFonts w:ascii="Garamond" w:hAnsi="Garamond"/>
                <w:sz w:val="24"/>
                <w:szCs w:val="24"/>
              </w:rPr>
              <w:t xml:space="preserve">University of </w:t>
            </w:r>
            <w:r w:rsidR="00B374C6">
              <w:rPr>
                <w:rFonts w:ascii="Garamond" w:hAnsi="Garamond"/>
                <w:sz w:val="24"/>
                <w:szCs w:val="24"/>
              </w:rPr>
              <w:t>Connecticut</w:t>
            </w:r>
          </w:p>
        </w:tc>
        <w:tc>
          <w:tcPr>
            <w:tcW w:w="4702" w:type="dxa"/>
            <w:gridSpan w:val="2"/>
          </w:tcPr>
          <w:p w14:paraId="77EF8AE7" w14:textId="35D8E5CE" w:rsidR="00865EF6" w:rsidRPr="007C7611" w:rsidRDefault="00B374C6" w:rsidP="000A6D1A">
            <w:pPr>
              <w:rPr>
                <w:rFonts w:ascii="Garamond" w:hAnsi="Garamond"/>
                <w:sz w:val="24"/>
                <w:szCs w:val="24"/>
              </w:rPr>
            </w:pPr>
            <w:r>
              <w:rPr>
                <w:rFonts w:ascii="Garamond" w:hAnsi="Garamond"/>
                <w:sz w:val="24"/>
                <w:szCs w:val="24"/>
              </w:rPr>
              <w:t>University of Connecticut</w:t>
            </w:r>
          </w:p>
        </w:tc>
      </w:tr>
      <w:tr w:rsidR="007B6DAE" w:rsidRPr="007C7611" w14:paraId="00BB97F9" w14:textId="77777777">
        <w:trPr>
          <w:trHeight w:val="258"/>
        </w:trPr>
        <w:tc>
          <w:tcPr>
            <w:tcW w:w="287" w:type="dxa"/>
          </w:tcPr>
          <w:p w14:paraId="073A31D7" w14:textId="77777777" w:rsidR="007B6DAE" w:rsidRPr="007C7611" w:rsidRDefault="007B6DAE">
            <w:pPr>
              <w:rPr>
                <w:rFonts w:ascii="Garamond" w:hAnsi="Garamond"/>
                <w:sz w:val="24"/>
                <w:szCs w:val="24"/>
              </w:rPr>
            </w:pPr>
          </w:p>
        </w:tc>
        <w:tc>
          <w:tcPr>
            <w:tcW w:w="4479" w:type="dxa"/>
            <w:gridSpan w:val="4"/>
          </w:tcPr>
          <w:p w14:paraId="5E96B3B6" w14:textId="28F763B7" w:rsidR="007B6DAE" w:rsidRPr="007C7611" w:rsidRDefault="00F37367" w:rsidP="00B374C6">
            <w:pPr>
              <w:rPr>
                <w:rFonts w:ascii="Garamond" w:hAnsi="Garamond"/>
                <w:sz w:val="24"/>
                <w:szCs w:val="24"/>
              </w:rPr>
            </w:pPr>
            <w:hyperlink r:id="rId6" w:history="1">
              <w:r w:rsidR="00B374C6" w:rsidRPr="00B374C6">
                <w:rPr>
                  <w:rStyle w:val="Hyperlink"/>
                  <w:rFonts w:ascii="Garamond" w:hAnsi="Garamond"/>
                  <w:sz w:val="24"/>
                  <w:szCs w:val="24"/>
                </w:rPr>
                <w:t>mailto:kai.zhao@uconn.edu</w:t>
              </w:r>
            </w:hyperlink>
          </w:p>
        </w:tc>
        <w:tc>
          <w:tcPr>
            <w:tcW w:w="4702" w:type="dxa"/>
            <w:gridSpan w:val="2"/>
          </w:tcPr>
          <w:p w14:paraId="56792635" w14:textId="42ABCF56" w:rsidR="007B6DAE" w:rsidRPr="007C7611" w:rsidRDefault="00F37367" w:rsidP="00B374C6">
            <w:pPr>
              <w:rPr>
                <w:rFonts w:ascii="Garamond" w:hAnsi="Garamond"/>
                <w:sz w:val="24"/>
                <w:szCs w:val="24"/>
              </w:rPr>
            </w:pPr>
            <w:hyperlink r:id="rId7" w:history="1">
              <w:r w:rsidR="00B374C6" w:rsidRPr="00C976CA">
                <w:rPr>
                  <w:rStyle w:val="Hyperlink"/>
                  <w:rFonts w:ascii="Garamond" w:hAnsi="Garamond"/>
                  <w:sz w:val="24"/>
                  <w:szCs w:val="24"/>
                </w:rPr>
                <w:t>hyun.lee2@uconn.edu</w:t>
              </w:r>
            </w:hyperlink>
          </w:p>
        </w:tc>
      </w:tr>
      <w:tr w:rsidR="007B6DAE" w:rsidRPr="007C7611" w14:paraId="416020F8" w14:textId="77777777">
        <w:trPr>
          <w:trHeight w:val="258"/>
        </w:trPr>
        <w:tc>
          <w:tcPr>
            <w:tcW w:w="287" w:type="dxa"/>
          </w:tcPr>
          <w:p w14:paraId="37C1E155" w14:textId="77777777" w:rsidR="007B6DAE" w:rsidRPr="007C7611" w:rsidRDefault="007B6DAE">
            <w:pPr>
              <w:rPr>
                <w:rFonts w:ascii="Garamond" w:hAnsi="Garamond"/>
                <w:sz w:val="24"/>
                <w:szCs w:val="24"/>
              </w:rPr>
            </w:pPr>
          </w:p>
        </w:tc>
        <w:tc>
          <w:tcPr>
            <w:tcW w:w="4479" w:type="dxa"/>
            <w:gridSpan w:val="4"/>
          </w:tcPr>
          <w:p w14:paraId="23EE445C" w14:textId="77777777" w:rsidR="007B6DAE" w:rsidRPr="007C7611" w:rsidRDefault="007B6DAE">
            <w:pPr>
              <w:rPr>
                <w:rFonts w:ascii="Garamond" w:hAnsi="Garamond"/>
                <w:sz w:val="24"/>
                <w:szCs w:val="24"/>
              </w:rPr>
            </w:pPr>
          </w:p>
        </w:tc>
        <w:tc>
          <w:tcPr>
            <w:tcW w:w="4702" w:type="dxa"/>
            <w:gridSpan w:val="2"/>
          </w:tcPr>
          <w:p w14:paraId="06C1517F" w14:textId="77777777" w:rsidR="007B6DAE" w:rsidRPr="007C7611" w:rsidRDefault="007B6DAE">
            <w:pPr>
              <w:rPr>
                <w:rFonts w:ascii="Garamond" w:hAnsi="Garamond"/>
                <w:sz w:val="24"/>
                <w:szCs w:val="24"/>
              </w:rPr>
            </w:pPr>
          </w:p>
        </w:tc>
      </w:tr>
      <w:tr w:rsidR="00B374C6" w:rsidRPr="007C7611" w14:paraId="2636D23D" w14:textId="01258FFF" w:rsidTr="00865EF6">
        <w:trPr>
          <w:gridAfter w:val="2"/>
          <w:wAfter w:w="4702" w:type="dxa"/>
          <w:trHeight w:val="258"/>
        </w:trPr>
        <w:tc>
          <w:tcPr>
            <w:tcW w:w="287" w:type="dxa"/>
          </w:tcPr>
          <w:p w14:paraId="1FDDADE7" w14:textId="77777777" w:rsidR="00B374C6" w:rsidRPr="007C7611" w:rsidRDefault="00B374C6">
            <w:pPr>
              <w:rPr>
                <w:rFonts w:ascii="Garamond" w:hAnsi="Garamond"/>
                <w:sz w:val="24"/>
                <w:szCs w:val="24"/>
              </w:rPr>
            </w:pPr>
          </w:p>
        </w:tc>
        <w:tc>
          <w:tcPr>
            <w:tcW w:w="4479" w:type="dxa"/>
            <w:gridSpan w:val="4"/>
          </w:tcPr>
          <w:p w14:paraId="1665284C" w14:textId="39054BB9" w:rsidR="00B374C6" w:rsidRPr="007C7611" w:rsidRDefault="00B374C6" w:rsidP="00B374C6">
            <w:pPr>
              <w:rPr>
                <w:rFonts w:ascii="Garamond" w:hAnsi="Garamond"/>
                <w:sz w:val="24"/>
                <w:szCs w:val="24"/>
              </w:rPr>
            </w:pPr>
            <w:r w:rsidRPr="007C7611">
              <w:rPr>
                <w:rFonts w:ascii="Garamond" w:hAnsi="Garamond"/>
                <w:sz w:val="24"/>
                <w:szCs w:val="24"/>
              </w:rPr>
              <w:t xml:space="preserve">Professor </w:t>
            </w:r>
            <w:r>
              <w:rPr>
                <w:rFonts w:ascii="Garamond" w:hAnsi="Garamond"/>
                <w:sz w:val="24"/>
                <w:szCs w:val="24"/>
              </w:rPr>
              <w:t xml:space="preserve">Francis </w:t>
            </w:r>
            <w:proofErr w:type="spellStart"/>
            <w:r>
              <w:rPr>
                <w:rFonts w:ascii="Garamond" w:hAnsi="Garamond"/>
                <w:sz w:val="24"/>
                <w:szCs w:val="24"/>
              </w:rPr>
              <w:t>Ahking</w:t>
            </w:r>
            <w:proofErr w:type="spellEnd"/>
          </w:p>
        </w:tc>
      </w:tr>
      <w:tr w:rsidR="00B374C6" w:rsidRPr="007C7611" w14:paraId="1A5A37C9" w14:textId="32D6D056" w:rsidTr="00865EF6">
        <w:trPr>
          <w:gridAfter w:val="2"/>
          <w:wAfter w:w="4702" w:type="dxa"/>
          <w:trHeight w:val="258"/>
        </w:trPr>
        <w:tc>
          <w:tcPr>
            <w:tcW w:w="287" w:type="dxa"/>
          </w:tcPr>
          <w:p w14:paraId="202C31E6" w14:textId="77777777" w:rsidR="00B374C6" w:rsidRPr="007C7611" w:rsidRDefault="00B374C6">
            <w:pPr>
              <w:rPr>
                <w:rFonts w:ascii="Garamond" w:hAnsi="Garamond"/>
                <w:sz w:val="24"/>
                <w:szCs w:val="24"/>
              </w:rPr>
            </w:pPr>
          </w:p>
        </w:tc>
        <w:tc>
          <w:tcPr>
            <w:tcW w:w="4479" w:type="dxa"/>
            <w:gridSpan w:val="4"/>
          </w:tcPr>
          <w:p w14:paraId="5A82FFD2" w14:textId="32A6B1C8" w:rsidR="00B374C6" w:rsidRPr="007C7611" w:rsidRDefault="00B374C6" w:rsidP="00BB46F9">
            <w:pPr>
              <w:rPr>
                <w:rFonts w:ascii="Garamond" w:hAnsi="Garamond"/>
                <w:sz w:val="24"/>
                <w:szCs w:val="24"/>
              </w:rPr>
            </w:pPr>
            <w:r>
              <w:rPr>
                <w:rFonts w:ascii="Garamond" w:hAnsi="Garamond"/>
                <w:sz w:val="24"/>
                <w:szCs w:val="24"/>
              </w:rPr>
              <w:t>University of Connecticut</w:t>
            </w:r>
          </w:p>
        </w:tc>
      </w:tr>
      <w:tr w:rsidR="00B374C6" w:rsidRPr="007C7611" w14:paraId="2C06214B" w14:textId="3AF5C0E2" w:rsidTr="00865EF6">
        <w:trPr>
          <w:gridAfter w:val="2"/>
          <w:wAfter w:w="4702" w:type="dxa"/>
          <w:trHeight w:val="258"/>
        </w:trPr>
        <w:tc>
          <w:tcPr>
            <w:tcW w:w="287" w:type="dxa"/>
          </w:tcPr>
          <w:p w14:paraId="121AE8EC" w14:textId="77777777" w:rsidR="00B374C6" w:rsidRPr="007C7611" w:rsidRDefault="00B374C6">
            <w:pPr>
              <w:rPr>
                <w:rFonts w:ascii="Garamond" w:hAnsi="Garamond"/>
                <w:sz w:val="24"/>
                <w:szCs w:val="24"/>
              </w:rPr>
            </w:pPr>
          </w:p>
        </w:tc>
        <w:tc>
          <w:tcPr>
            <w:tcW w:w="4479" w:type="dxa"/>
            <w:gridSpan w:val="4"/>
          </w:tcPr>
          <w:p w14:paraId="5D9D5AAF" w14:textId="51265446" w:rsidR="00B374C6" w:rsidRDefault="00F37367" w:rsidP="00957AC7">
            <w:pPr>
              <w:rPr>
                <w:rStyle w:val="Hyperlink"/>
                <w:rFonts w:ascii="Garamond" w:hAnsi="Garamond"/>
                <w:sz w:val="24"/>
                <w:szCs w:val="24"/>
              </w:rPr>
            </w:pPr>
            <w:hyperlink r:id="rId8" w:history="1">
              <w:r w:rsidR="00B374C6" w:rsidRPr="00C976CA">
                <w:rPr>
                  <w:rStyle w:val="Hyperlink"/>
                  <w:rFonts w:ascii="Garamond" w:hAnsi="Garamond"/>
                  <w:sz w:val="24"/>
                  <w:szCs w:val="24"/>
                </w:rPr>
                <w:t>francis.ahking@uconn.edu</w:t>
              </w:r>
            </w:hyperlink>
          </w:p>
          <w:p w14:paraId="2D66637A" w14:textId="7E8D0F7D" w:rsidR="00B374C6" w:rsidRPr="007C7611" w:rsidRDefault="00B374C6" w:rsidP="00957AC7">
            <w:pPr>
              <w:rPr>
                <w:rFonts w:ascii="Garamond" w:hAnsi="Garamond"/>
                <w:sz w:val="24"/>
                <w:szCs w:val="24"/>
              </w:rPr>
            </w:pPr>
          </w:p>
        </w:tc>
      </w:tr>
      <w:tr w:rsidR="00865EF6" w:rsidRPr="007C7611" w14:paraId="02768AB0" w14:textId="77777777">
        <w:tc>
          <w:tcPr>
            <w:tcW w:w="9468" w:type="dxa"/>
            <w:gridSpan w:val="7"/>
          </w:tcPr>
          <w:p w14:paraId="260E022F" w14:textId="77777777" w:rsidR="00865EF6" w:rsidRPr="007C7611" w:rsidRDefault="00865EF6">
            <w:pPr>
              <w:rPr>
                <w:rFonts w:ascii="Garamond" w:hAnsi="Garamond"/>
                <w:sz w:val="24"/>
                <w:szCs w:val="24"/>
              </w:rPr>
            </w:pPr>
            <w:r w:rsidRPr="00BB46F9">
              <w:rPr>
                <w:rFonts w:ascii="Garamond" w:hAnsi="Garamond"/>
                <w:b/>
                <w:sz w:val="24"/>
                <w:szCs w:val="24"/>
              </w:rPr>
              <w:t>Teaching and Research Fields</w:t>
            </w:r>
            <w:r w:rsidRPr="007C7611">
              <w:rPr>
                <w:rFonts w:ascii="Garamond" w:hAnsi="Garamond"/>
                <w:sz w:val="24"/>
                <w:szCs w:val="24"/>
              </w:rPr>
              <w:t>:</w:t>
            </w:r>
          </w:p>
        </w:tc>
      </w:tr>
      <w:tr w:rsidR="00865EF6" w:rsidRPr="007C7611" w14:paraId="0706A66E" w14:textId="77777777">
        <w:tc>
          <w:tcPr>
            <w:tcW w:w="287" w:type="dxa"/>
          </w:tcPr>
          <w:p w14:paraId="18B32B9A" w14:textId="77777777" w:rsidR="00865EF6" w:rsidRPr="007C7611" w:rsidRDefault="00865EF6">
            <w:pPr>
              <w:rPr>
                <w:rFonts w:ascii="Garamond" w:hAnsi="Garamond"/>
                <w:sz w:val="24"/>
                <w:szCs w:val="24"/>
              </w:rPr>
            </w:pPr>
          </w:p>
        </w:tc>
        <w:tc>
          <w:tcPr>
            <w:tcW w:w="9181" w:type="dxa"/>
            <w:gridSpan w:val="6"/>
          </w:tcPr>
          <w:p w14:paraId="2C9C6620" w14:textId="1DB76CDF" w:rsidR="00865EF6" w:rsidRPr="007C7611" w:rsidRDefault="00865EF6" w:rsidP="00B374C6">
            <w:pPr>
              <w:rPr>
                <w:rFonts w:ascii="Garamond" w:hAnsi="Garamond"/>
                <w:sz w:val="24"/>
                <w:szCs w:val="24"/>
              </w:rPr>
            </w:pPr>
            <w:r w:rsidRPr="007C7611">
              <w:rPr>
                <w:rFonts w:ascii="Garamond" w:hAnsi="Garamond"/>
                <w:sz w:val="24"/>
                <w:szCs w:val="24"/>
              </w:rPr>
              <w:t xml:space="preserve">Primary fields: </w:t>
            </w:r>
            <w:r w:rsidR="0045464F">
              <w:rPr>
                <w:rFonts w:ascii="Garamond" w:hAnsi="Garamond"/>
                <w:sz w:val="24"/>
                <w:szCs w:val="24"/>
              </w:rPr>
              <w:t xml:space="preserve">Macroeconomics, </w:t>
            </w:r>
            <w:r w:rsidR="00B374C6">
              <w:rPr>
                <w:rFonts w:ascii="Garamond" w:hAnsi="Garamond"/>
                <w:sz w:val="24"/>
                <w:szCs w:val="24"/>
              </w:rPr>
              <w:t>Inequality, Taxation</w:t>
            </w:r>
          </w:p>
        </w:tc>
      </w:tr>
      <w:tr w:rsidR="00865EF6" w:rsidRPr="007C7611" w14:paraId="32FD8070" w14:textId="77777777">
        <w:tc>
          <w:tcPr>
            <w:tcW w:w="287" w:type="dxa"/>
          </w:tcPr>
          <w:p w14:paraId="600F51A5" w14:textId="77777777" w:rsidR="00865EF6" w:rsidRPr="007C7611" w:rsidRDefault="00865EF6">
            <w:pPr>
              <w:rPr>
                <w:rFonts w:ascii="Garamond" w:hAnsi="Garamond"/>
                <w:sz w:val="24"/>
                <w:szCs w:val="24"/>
              </w:rPr>
            </w:pPr>
          </w:p>
        </w:tc>
        <w:tc>
          <w:tcPr>
            <w:tcW w:w="9181" w:type="dxa"/>
            <w:gridSpan w:val="6"/>
          </w:tcPr>
          <w:p w14:paraId="46BC0487" w14:textId="26E92106" w:rsidR="00865EF6" w:rsidRPr="007C7611" w:rsidRDefault="00865EF6">
            <w:pPr>
              <w:rPr>
                <w:rFonts w:ascii="Garamond" w:hAnsi="Garamond"/>
                <w:sz w:val="24"/>
                <w:szCs w:val="24"/>
              </w:rPr>
            </w:pPr>
            <w:r w:rsidRPr="007C7611">
              <w:rPr>
                <w:rFonts w:ascii="Garamond" w:hAnsi="Garamond"/>
                <w:sz w:val="24"/>
                <w:szCs w:val="24"/>
              </w:rPr>
              <w:t xml:space="preserve">Secondary fields: </w:t>
            </w:r>
            <w:r w:rsidR="0026690C">
              <w:rPr>
                <w:rFonts w:ascii="Garamond" w:hAnsi="Garamond"/>
                <w:sz w:val="24"/>
                <w:szCs w:val="24"/>
              </w:rPr>
              <w:t xml:space="preserve">Computational Economics, </w:t>
            </w:r>
            <w:r w:rsidR="00B374C6">
              <w:rPr>
                <w:rFonts w:ascii="Garamond" w:hAnsi="Garamond"/>
                <w:sz w:val="24"/>
                <w:szCs w:val="24"/>
              </w:rPr>
              <w:t>Business Cycle</w:t>
            </w:r>
          </w:p>
          <w:p w14:paraId="360683DD" w14:textId="77E46752" w:rsidR="00865EF6" w:rsidRPr="007C7611" w:rsidRDefault="00865EF6">
            <w:pPr>
              <w:rPr>
                <w:rFonts w:ascii="Garamond" w:hAnsi="Garamond"/>
                <w:sz w:val="24"/>
                <w:szCs w:val="24"/>
              </w:rPr>
            </w:pPr>
          </w:p>
        </w:tc>
      </w:tr>
      <w:tr w:rsidR="00865EF6" w:rsidRPr="007C7611" w14:paraId="40A9BBF8" w14:textId="77777777">
        <w:tc>
          <w:tcPr>
            <w:tcW w:w="9468" w:type="dxa"/>
            <w:gridSpan w:val="7"/>
          </w:tcPr>
          <w:p w14:paraId="26C72380" w14:textId="77777777" w:rsidR="00865EF6" w:rsidRPr="007C7611" w:rsidRDefault="00865EF6">
            <w:pPr>
              <w:rPr>
                <w:rFonts w:ascii="Garamond" w:hAnsi="Garamond"/>
                <w:b/>
                <w:sz w:val="24"/>
                <w:szCs w:val="24"/>
                <w:u w:val="single"/>
              </w:rPr>
            </w:pPr>
            <w:r w:rsidRPr="00BB46F9">
              <w:rPr>
                <w:rFonts w:ascii="Garamond" w:hAnsi="Garamond"/>
                <w:b/>
                <w:sz w:val="24"/>
                <w:szCs w:val="24"/>
              </w:rPr>
              <w:t>Teaching Experience</w:t>
            </w:r>
            <w:r w:rsidRPr="00F35AD8">
              <w:rPr>
                <w:rFonts w:ascii="Garamond" w:hAnsi="Garamond"/>
                <w:b/>
                <w:sz w:val="24"/>
                <w:szCs w:val="24"/>
              </w:rPr>
              <w:t>:</w:t>
            </w:r>
          </w:p>
        </w:tc>
      </w:tr>
      <w:tr w:rsidR="00226567" w:rsidRPr="007C7611" w14:paraId="4AFFAA32" w14:textId="77777777">
        <w:tc>
          <w:tcPr>
            <w:tcW w:w="287" w:type="dxa"/>
          </w:tcPr>
          <w:p w14:paraId="4A9CE419" w14:textId="77777777" w:rsidR="00226567" w:rsidRPr="007C7611" w:rsidRDefault="00226567">
            <w:pPr>
              <w:rPr>
                <w:rFonts w:ascii="Garamond" w:hAnsi="Garamond"/>
                <w:sz w:val="24"/>
                <w:szCs w:val="24"/>
              </w:rPr>
            </w:pPr>
          </w:p>
        </w:tc>
        <w:tc>
          <w:tcPr>
            <w:tcW w:w="1584" w:type="dxa"/>
            <w:gridSpan w:val="2"/>
          </w:tcPr>
          <w:p w14:paraId="5914A63C" w14:textId="5F1692E7" w:rsidR="00226567" w:rsidRDefault="00B374C6" w:rsidP="00CC322D">
            <w:pPr>
              <w:rPr>
                <w:rFonts w:ascii="Garamond" w:hAnsi="Garamond"/>
                <w:sz w:val="24"/>
                <w:szCs w:val="24"/>
              </w:rPr>
            </w:pPr>
            <w:r>
              <w:rPr>
                <w:rFonts w:ascii="Garamond" w:hAnsi="Garamond"/>
                <w:sz w:val="24"/>
                <w:szCs w:val="24"/>
              </w:rPr>
              <w:t>Fall 2017</w:t>
            </w:r>
          </w:p>
          <w:p w14:paraId="7FE76619" w14:textId="199B0FED" w:rsidR="00226567" w:rsidRPr="007C7611" w:rsidRDefault="00A51C56" w:rsidP="00CC322D">
            <w:pPr>
              <w:rPr>
                <w:rFonts w:ascii="Garamond" w:hAnsi="Garamond"/>
                <w:sz w:val="24"/>
                <w:szCs w:val="24"/>
              </w:rPr>
            </w:pPr>
            <w:r>
              <w:rPr>
                <w:rFonts w:ascii="Garamond" w:hAnsi="Garamond"/>
                <w:sz w:val="24"/>
                <w:szCs w:val="24"/>
              </w:rPr>
              <w:t>Summer</w:t>
            </w:r>
            <w:r w:rsidR="00226567" w:rsidRPr="007C7611">
              <w:rPr>
                <w:rFonts w:ascii="Garamond" w:hAnsi="Garamond"/>
                <w:sz w:val="24"/>
                <w:szCs w:val="24"/>
              </w:rPr>
              <w:t xml:space="preserve"> </w:t>
            </w:r>
            <w:r w:rsidR="00226567">
              <w:rPr>
                <w:rFonts w:ascii="Garamond" w:hAnsi="Garamond"/>
                <w:sz w:val="24"/>
                <w:szCs w:val="24"/>
              </w:rPr>
              <w:t>201</w:t>
            </w:r>
            <w:r>
              <w:rPr>
                <w:rFonts w:ascii="Garamond" w:hAnsi="Garamond"/>
                <w:sz w:val="24"/>
                <w:szCs w:val="24"/>
              </w:rPr>
              <w:t>7</w:t>
            </w:r>
          </w:p>
        </w:tc>
        <w:tc>
          <w:tcPr>
            <w:tcW w:w="7597" w:type="dxa"/>
            <w:gridSpan w:val="4"/>
          </w:tcPr>
          <w:p w14:paraId="1DBDC33A" w14:textId="17865496" w:rsidR="00A51C56" w:rsidRDefault="00A51C56" w:rsidP="00365A9A">
            <w:pPr>
              <w:rPr>
                <w:rFonts w:ascii="Garamond" w:hAnsi="Garamond"/>
                <w:sz w:val="24"/>
                <w:szCs w:val="24"/>
              </w:rPr>
            </w:pPr>
            <w:r>
              <w:rPr>
                <w:rFonts w:ascii="Garamond" w:hAnsi="Garamond"/>
                <w:sz w:val="24"/>
                <w:szCs w:val="24"/>
              </w:rPr>
              <w:t xml:space="preserve">Econ 2500W </w:t>
            </w:r>
            <w:r w:rsidRPr="00A51C56">
              <w:rPr>
                <w:rFonts w:ascii="Garamond" w:hAnsi="Garamond"/>
                <w:sz w:val="24"/>
                <w:szCs w:val="24"/>
              </w:rPr>
              <w:t>Economic Writing and Research</w:t>
            </w:r>
            <w:r>
              <w:rPr>
                <w:rFonts w:ascii="Garamond" w:hAnsi="Garamond"/>
                <w:sz w:val="24"/>
                <w:szCs w:val="24"/>
              </w:rPr>
              <w:t>, Instructor of Record</w:t>
            </w:r>
          </w:p>
          <w:p w14:paraId="6B44D72C" w14:textId="2CA6D6AC" w:rsidR="00226567" w:rsidRPr="007C7611" w:rsidRDefault="00A51C56" w:rsidP="00226567">
            <w:pPr>
              <w:rPr>
                <w:rFonts w:ascii="Garamond" w:hAnsi="Garamond"/>
                <w:sz w:val="24"/>
                <w:szCs w:val="24"/>
              </w:rPr>
            </w:pPr>
            <w:r>
              <w:rPr>
                <w:rFonts w:ascii="Garamond" w:hAnsi="Garamond"/>
                <w:sz w:val="24"/>
                <w:szCs w:val="24"/>
              </w:rPr>
              <w:t>Econ 2101W Economic History of Europe, Instructor of Record</w:t>
            </w:r>
          </w:p>
        </w:tc>
      </w:tr>
      <w:tr w:rsidR="00A51C56" w:rsidRPr="007C7611" w14:paraId="7B115386" w14:textId="77777777">
        <w:tc>
          <w:tcPr>
            <w:tcW w:w="287" w:type="dxa"/>
          </w:tcPr>
          <w:p w14:paraId="1E4038D6" w14:textId="77777777" w:rsidR="00A51C56" w:rsidRPr="007C7611" w:rsidRDefault="00A51C56">
            <w:pPr>
              <w:rPr>
                <w:rFonts w:ascii="Garamond" w:hAnsi="Garamond"/>
                <w:sz w:val="24"/>
                <w:szCs w:val="24"/>
              </w:rPr>
            </w:pPr>
          </w:p>
        </w:tc>
        <w:tc>
          <w:tcPr>
            <w:tcW w:w="1584" w:type="dxa"/>
            <w:gridSpan w:val="2"/>
          </w:tcPr>
          <w:p w14:paraId="20D11953" w14:textId="3BF65AA3" w:rsidR="00A51C56" w:rsidRDefault="00A51C56" w:rsidP="00CC322D">
            <w:pPr>
              <w:rPr>
                <w:rFonts w:ascii="Garamond" w:hAnsi="Garamond"/>
                <w:sz w:val="24"/>
                <w:szCs w:val="24"/>
              </w:rPr>
            </w:pPr>
            <w:r>
              <w:rPr>
                <w:rFonts w:ascii="Garamond" w:hAnsi="Garamond"/>
                <w:sz w:val="24"/>
                <w:szCs w:val="24"/>
              </w:rPr>
              <w:t>Spring 2017</w:t>
            </w:r>
          </w:p>
        </w:tc>
        <w:tc>
          <w:tcPr>
            <w:tcW w:w="7597" w:type="dxa"/>
            <w:gridSpan w:val="4"/>
          </w:tcPr>
          <w:p w14:paraId="10C545BE" w14:textId="2B67153F" w:rsidR="00A51C56" w:rsidRDefault="00A51C56" w:rsidP="00365A9A">
            <w:pPr>
              <w:rPr>
                <w:rFonts w:ascii="Garamond" w:hAnsi="Garamond"/>
                <w:sz w:val="24"/>
                <w:szCs w:val="24"/>
              </w:rPr>
            </w:pPr>
            <w:r>
              <w:rPr>
                <w:rFonts w:ascii="Garamond" w:hAnsi="Garamond"/>
                <w:sz w:val="24"/>
                <w:szCs w:val="24"/>
              </w:rPr>
              <w:t xml:space="preserve">Econ 2500W </w:t>
            </w:r>
            <w:r w:rsidRPr="00A51C56">
              <w:rPr>
                <w:rFonts w:ascii="Garamond" w:hAnsi="Garamond"/>
                <w:sz w:val="24"/>
                <w:szCs w:val="24"/>
              </w:rPr>
              <w:t>Economic Writing and Research</w:t>
            </w:r>
            <w:r>
              <w:rPr>
                <w:rFonts w:ascii="Garamond" w:hAnsi="Garamond"/>
                <w:sz w:val="24"/>
                <w:szCs w:val="24"/>
              </w:rPr>
              <w:t>, Instructor of Record</w:t>
            </w:r>
          </w:p>
        </w:tc>
      </w:tr>
      <w:tr w:rsidR="00A51C56" w:rsidRPr="007C7611" w14:paraId="3855504D" w14:textId="77777777">
        <w:tc>
          <w:tcPr>
            <w:tcW w:w="287" w:type="dxa"/>
          </w:tcPr>
          <w:p w14:paraId="15DD5AAF" w14:textId="77777777" w:rsidR="00A51C56" w:rsidRPr="007C7611" w:rsidRDefault="00A51C56">
            <w:pPr>
              <w:rPr>
                <w:rFonts w:ascii="Garamond" w:hAnsi="Garamond"/>
                <w:sz w:val="24"/>
                <w:szCs w:val="24"/>
              </w:rPr>
            </w:pPr>
          </w:p>
        </w:tc>
        <w:tc>
          <w:tcPr>
            <w:tcW w:w="1584" w:type="dxa"/>
            <w:gridSpan w:val="2"/>
          </w:tcPr>
          <w:p w14:paraId="67ECBAFF" w14:textId="39E304F3" w:rsidR="00A51C56" w:rsidRDefault="00A51C56" w:rsidP="00CC322D">
            <w:pPr>
              <w:rPr>
                <w:rFonts w:ascii="Garamond" w:hAnsi="Garamond"/>
                <w:sz w:val="24"/>
                <w:szCs w:val="24"/>
              </w:rPr>
            </w:pPr>
            <w:r>
              <w:rPr>
                <w:rFonts w:ascii="Garamond" w:hAnsi="Garamond"/>
                <w:sz w:val="24"/>
                <w:szCs w:val="24"/>
              </w:rPr>
              <w:t>Fall 2016</w:t>
            </w:r>
          </w:p>
        </w:tc>
        <w:tc>
          <w:tcPr>
            <w:tcW w:w="7597" w:type="dxa"/>
            <w:gridSpan w:val="4"/>
          </w:tcPr>
          <w:p w14:paraId="7FCEB727" w14:textId="59DDC1F7" w:rsidR="00A51C56" w:rsidRDefault="00A51C56" w:rsidP="00365A9A">
            <w:pPr>
              <w:rPr>
                <w:rFonts w:ascii="Garamond" w:hAnsi="Garamond"/>
                <w:sz w:val="24"/>
                <w:szCs w:val="24"/>
              </w:rPr>
            </w:pPr>
            <w:r>
              <w:rPr>
                <w:rFonts w:ascii="Garamond" w:hAnsi="Garamond"/>
                <w:sz w:val="24"/>
                <w:szCs w:val="24"/>
              </w:rPr>
              <w:t xml:space="preserve">Econ 2500W </w:t>
            </w:r>
            <w:r w:rsidRPr="00A51C56">
              <w:rPr>
                <w:rFonts w:ascii="Garamond" w:hAnsi="Garamond"/>
                <w:sz w:val="24"/>
                <w:szCs w:val="24"/>
              </w:rPr>
              <w:t>Economic Writing and Research</w:t>
            </w:r>
            <w:r>
              <w:rPr>
                <w:rFonts w:ascii="Garamond" w:hAnsi="Garamond"/>
                <w:sz w:val="24"/>
                <w:szCs w:val="24"/>
              </w:rPr>
              <w:t>, Instructor of Record</w:t>
            </w:r>
          </w:p>
        </w:tc>
      </w:tr>
      <w:tr w:rsidR="00A51C56" w:rsidRPr="007C7611" w14:paraId="5E0D11DB" w14:textId="77777777">
        <w:tc>
          <w:tcPr>
            <w:tcW w:w="287" w:type="dxa"/>
          </w:tcPr>
          <w:p w14:paraId="281D73F1" w14:textId="77777777" w:rsidR="00A51C56" w:rsidRPr="007C7611" w:rsidRDefault="00A51C56">
            <w:pPr>
              <w:rPr>
                <w:rFonts w:ascii="Garamond" w:hAnsi="Garamond"/>
                <w:sz w:val="24"/>
                <w:szCs w:val="24"/>
              </w:rPr>
            </w:pPr>
          </w:p>
        </w:tc>
        <w:tc>
          <w:tcPr>
            <w:tcW w:w="1584" w:type="dxa"/>
            <w:gridSpan w:val="2"/>
          </w:tcPr>
          <w:p w14:paraId="0CF59E8C" w14:textId="6C13424A" w:rsidR="00A51C56" w:rsidRDefault="00A51C56" w:rsidP="00CC322D">
            <w:pPr>
              <w:rPr>
                <w:rFonts w:ascii="Garamond" w:hAnsi="Garamond"/>
                <w:sz w:val="24"/>
                <w:szCs w:val="24"/>
              </w:rPr>
            </w:pPr>
            <w:r>
              <w:rPr>
                <w:rFonts w:ascii="Garamond" w:hAnsi="Garamond"/>
                <w:sz w:val="24"/>
                <w:szCs w:val="24"/>
              </w:rPr>
              <w:t>Spring 2016</w:t>
            </w:r>
          </w:p>
        </w:tc>
        <w:tc>
          <w:tcPr>
            <w:tcW w:w="7597" w:type="dxa"/>
            <w:gridSpan w:val="4"/>
          </w:tcPr>
          <w:p w14:paraId="45D02AF7" w14:textId="734C86D6" w:rsidR="00A51C56" w:rsidRDefault="00A51C56" w:rsidP="00365A9A">
            <w:pPr>
              <w:rPr>
                <w:rFonts w:ascii="Garamond" w:hAnsi="Garamond"/>
                <w:sz w:val="24"/>
                <w:szCs w:val="24"/>
              </w:rPr>
            </w:pPr>
            <w:r>
              <w:rPr>
                <w:rFonts w:ascii="Garamond" w:hAnsi="Garamond"/>
                <w:sz w:val="24"/>
                <w:szCs w:val="24"/>
              </w:rPr>
              <w:t>Econ 2202 Intermediate Macroeconomic Theory, Instructor of Record</w:t>
            </w:r>
          </w:p>
        </w:tc>
      </w:tr>
      <w:tr w:rsidR="00226567" w:rsidRPr="007C7611" w14:paraId="221544E3" w14:textId="77777777">
        <w:tc>
          <w:tcPr>
            <w:tcW w:w="287" w:type="dxa"/>
          </w:tcPr>
          <w:p w14:paraId="4D3119B4" w14:textId="77777777" w:rsidR="00226567" w:rsidRPr="007C7611" w:rsidRDefault="00226567">
            <w:pPr>
              <w:rPr>
                <w:rFonts w:ascii="Garamond" w:hAnsi="Garamond"/>
                <w:sz w:val="24"/>
                <w:szCs w:val="24"/>
              </w:rPr>
            </w:pPr>
          </w:p>
        </w:tc>
        <w:tc>
          <w:tcPr>
            <w:tcW w:w="1584" w:type="dxa"/>
            <w:gridSpan w:val="2"/>
          </w:tcPr>
          <w:p w14:paraId="6FDA0385" w14:textId="6E35B1D0" w:rsidR="00226567" w:rsidRDefault="00B374C6" w:rsidP="00CC322D">
            <w:pPr>
              <w:rPr>
                <w:rFonts w:ascii="Garamond" w:hAnsi="Garamond"/>
                <w:sz w:val="24"/>
                <w:szCs w:val="24"/>
              </w:rPr>
            </w:pPr>
            <w:r>
              <w:rPr>
                <w:rFonts w:ascii="Garamond" w:hAnsi="Garamond"/>
                <w:sz w:val="24"/>
                <w:szCs w:val="24"/>
              </w:rPr>
              <w:t>Fall</w:t>
            </w:r>
            <w:r w:rsidR="00A51C56">
              <w:rPr>
                <w:rFonts w:ascii="Garamond" w:hAnsi="Garamond"/>
                <w:sz w:val="24"/>
                <w:szCs w:val="24"/>
              </w:rPr>
              <w:t xml:space="preserve"> 2015</w:t>
            </w:r>
          </w:p>
          <w:p w14:paraId="58D6733C" w14:textId="3F7336BB" w:rsidR="00A51C56" w:rsidRDefault="00A51C56" w:rsidP="00A51C56">
            <w:pPr>
              <w:rPr>
                <w:rFonts w:ascii="Garamond" w:hAnsi="Garamond"/>
                <w:sz w:val="24"/>
                <w:szCs w:val="24"/>
              </w:rPr>
            </w:pPr>
            <w:r>
              <w:rPr>
                <w:rFonts w:ascii="Garamond" w:hAnsi="Garamond"/>
                <w:sz w:val="24"/>
                <w:szCs w:val="24"/>
              </w:rPr>
              <w:t>Summer 2015</w:t>
            </w:r>
          </w:p>
          <w:p w14:paraId="5E2520B6" w14:textId="77777777" w:rsidR="00226567" w:rsidRDefault="00A51C56" w:rsidP="00A51C56">
            <w:pPr>
              <w:rPr>
                <w:rFonts w:ascii="Garamond" w:hAnsi="Garamond"/>
                <w:sz w:val="24"/>
                <w:szCs w:val="24"/>
              </w:rPr>
            </w:pPr>
            <w:r>
              <w:rPr>
                <w:rFonts w:ascii="Garamond" w:hAnsi="Garamond"/>
                <w:sz w:val="24"/>
                <w:szCs w:val="24"/>
              </w:rPr>
              <w:t>Spring</w:t>
            </w:r>
            <w:r w:rsidR="00226567">
              <w:rPr>
                <w:rFonts w:ascii="Garamond" w:hAnsi="Garamond"/>
                <w:sz w:val="24"/>
                <w:szCs w:val="24"/>
              </w:rPr>
              <w:t xml:space="preserve"> 201</w:t>
            </w:r>
            <w:r>
              <w:rPr>
                <w:rFonts w:ascii="Garamond" w:hAnsi="Garamond"/>
                <w:sz w:val="24"/>
                <w:szCs w:val="24"/>
              </w:rPr>
              <w:t>5</w:t>
            </w:r>
          </w:p>
          <w:p w14:paraId="5164C9C5" w14:textId="77777777" w:rsidR="001568A0" w:rsidRDefault="001568A0" w:rsidP="00A51C56">
            <w:pPr>
              <w:rPr>
                <w:rFonts w:ascii="Garamond" w:hAnsi="Garamond"/>
                <w:sz w:val="24"/>
                <w:szCs w:val="24"/>
              </w:rPr>
            </w:pPr>
            <w:r>
              <w:rPr>
                <w:rFonts w:ascii="Garamond" w:hAnsi="Garamond"/>
                <w:sz w:val="24"/>
                <w:szCs w:val="24"/>
              </w:rPr>
              <w:t>Fall 2014</w:t>
            </w:r>
          </w:p>
          <w:p w14:paraId="0E7A54EB" w14:textId="77777777" w:rsidR="001568A0" w:rsidRDefault="001568A0" w:rsidP="00A51C56">
            <w:pPr>
              <w:rPr>
                <w:rFonts w:ascii="Garamond" w:hAnsi="Garamond"/>
                <w:sz w:val="24"/>
                <w:szCs w:val="24"/>
              </w:rPr>
            </w:pPr>
            <w:r>
              <w:rPr>
                <w:rFonts w:ascii="Garamond" w:hAnsi="Garamond"/>
                <w:sz w:val="24"/>
                <w:szCs w:val="24"/>
              </w:rPr>
              <w:t>Spring 2014</w:t>
            </w:r>
          </w:p>
          <w:p w14:paraId="6FB3EA8D" w14:textId="723ECE0E" w:rsidR="001568A0" w:rsidRPr="007C7611" w:rsidRDefault="001568A0" w:rsidP="00A51C56">
            <w:pPr>
              <w:rPr>
                <w:rFonts w:ascii="Garamond" w:hAnsi="Garamond"/>
                <w:sz w:val="24"/>
                <w:szCs w:val="24"/>
              </w:rPr>
            </w:pPr>
            <w:r>
              <w:rPr>
                <w:rFonts w:ascii="Garamond" w:hAnsi="Garamond"/>
                <w:sz w:val="24"/>
                <w:szCs w:val="24"/>
              </w:rPr>
              <w:t>Fall 2013</w:t>
            </w:r>
          </w:p>
        </w:tc>
        <w:tc>
          <w:tcPr>
            <w:tcW w:w="7597" w:type="dxa"/>
            <w:gridSpan w:val="4"/>
          </w:tcPr>
          <w:p w14:paraId="0844C730" w14:textId="432D577E" w:rsidR="00226567" w:rsidRDefault="00A51C56" w:rsidP="000A6D1A">
            <w:pPr>
              <w:rPr>
                <w:rFonts w:ascii="Garamond" w:hAnsi="Garamond"/>
                <w:sz w:val="24"/>
                <w:szCs w:val="24"/>
              </w:rPr>
            </w:pPr>
            <w:r>
              <w:rPr>
                <w:rFonts w:ascii="Garamond" w:hAnsi="Garamond"/>
                <w:sz w:val="24"/>
                <w:szCs w:val="24"/>
              </w:rPr>
              <w:t>Econ 2202 Intermediate Macroeconomic Theory, Instructor of Record</w:t>
            </w:r>
          </w:p>
          <w:p w14:paraId="0335B45A" w14:textId="77777777" w:rsidR="00A51C56" w:rsidRDefault="00A51C56" w:rsidP="00A51C56">
            <w:pPr>
              <w:rPr>
                <w:rFonts w:ascii="Garamond" w:hAnsi="Garamond"/>
                <w:sz w:val="24"/>
                <w:szCs w:val="24"/>
              </w:rPr>
            </w:pPr>
            <w:r>
              <w:rPr>
                <w:rFonts w:ascii="Garamond" w:hAnsi="Garamond"/>
                <w:sz w:val="24"/>
                <w:szCs w:val="24"/>
              </w:rPr>
              <w:t xml:space="preserve">Econ 2202 Intermediate Macroeconomic Theory, Instructor of Record </w:t>
            </w:r>
          </w:p>
          <w:p w14:paraId="0AAF379F" w14:textId="08789A28" w:rsidR="00226567" w:rsidRDefault="00A51C56" w:rsidP="00A51C56">
            <w:pPr>
              <w:rPr>
                <w:rFonts w:ascii="Garamond" w:hAnsi="Garamond"/>
                <w:sz w:val="24"/>
                <w:szCs w:val="24"/>
              </w:rPr>
            </w:pPr>
            <w:r>
              <w:rPr>
                <w:rFonts w:ascii="Garamond" w:hAnsi="Garamond"/>
                <w:sz w:val="24"/>
                <w:szCs w:val="24"/>
              </w:rPr>
              <w:t xml:space="preserve">Econ 1201H Honors </w:t>
            </w:r>
            <w:r w:rsidR="001568A0">
              <w:rPr>
                <w:rFonts w:ascii="Garamond" w:hAnsi="Garamond"/>
                <w:sz w:val="24"/>
                <w:szCs w:val="24"/>
              </w:rPr>
              <w:t>P</w:t>
            </w:r>
            <w:r>
              <w:rPr>
                <w:rFonts w:ascii="Garamond" w:hAnsi="Garamond"/>
                <w:sz w:val="24"/>
                <w:szCs w:val="24"/>
              </w:rPr>
              <w:t xml:space="preserve">rinciples of </w:t>
            </w:r>
            <w:r w:rsidR="001568A0">
              <w:rPr>
                <w:rFonts w:ascii="Garamond" w:hAnsi="Garamond"/>
                <w:sz w:val="24"/>
                <w:szCs w:val="24"/>
              </w:rPr>
              <w:t>Microeconomics</w:t>
            </w:r>
            <w:r>
              <w:rPr>
                <w:rFonts w:ascii="Garamond" w:hAnsi="Garamond"/>
                <w:sz w:val="24"/>
                <w:szCs w:val="24"/>
              </w:rPr>
              <w:t>, Instructor of Record</w:t>
            </w:r>
          </w:p>
          <w:p w14:paraId="4F1431AF" w14:textId="77777777" w:rsidR="00A51C56" w:rsidRDefault="00A51C56" w:rsidP="001568A0">
            <w:pPr>
              <w:rPr>
                <w:rFonts w:ascii="Garamond" w:hAnsi="Garamond"/>
                <w:sz w:val="24"/>
                <w:szCs w:val="24"/>
              </w:rPr>
            </w:pPr>
            <w:r>
              <w:rPr>
                <w:rFonts w:ascii="Garamond" w:hAnsi="Garamond"/>
                <w:sz w:val="24"/>
                <w:szCs w:val="24"/>
              </w:rPr>
              <w:t>Econ 1202</w:t>
            </w:r>
            <w:r w:rsidR="001568A0">
              <w:rPr>
                <w:rFonts w:ascii="Garamond" w:hAnsi="Garamond"/>
                <w:sz w:val="24"/>
                <w:szCs w:val="24"/>
              </w:rPr>
              <w:t xml:space="preserve"> Principles of Macroeconomics, T.A.</w:t>
            </w:r>
          </w:p>
          <w:p w14:paraId="5353323D" w14:textId="6D5E16DB" w:rsidR="001568A0" w:rsidRDefault="001568A0" w:rsidP="001568A0">
            <w:pPr>
              <w:rPr>
                <w:rFonts w:ascii="Garamond" w:hAnsi="Garamond"/>
                <w:sz w:val="24"/>
                <w:szCs w:val="24"/>
              </w:rPr>
            </w:pPr>
            <w:r>
              <w:rPr>
                <w:rFonts w:ascii="Garamond" w:hAnsi="Garamond"/>
                <w:sz w:val="24"/>
                <w:szCs w:val="24"/>
              </w:rPr>
              <w:t>Econ 1201 Principles of Microeconomics, T.A.</w:t>
            </w:r>
          </w:p>
          <w:p w14:paraId="643A0D18" w14:textId="39BB3676" w:rsidR="001568A0" w:rsidRPr="007C7611" w:rsidRDefault="001568A0" w:rsidP="001568A0">
            <w:pPr>
              <w:rPr>
                <w:rFonts w:ascii="Garamond" w:hAnsi="Garamond"/>
                <w:sz w:val="24"/>
                <w:szCs w:val="24"/>
              </w:rPr>
            </w:pPr>
            <w:r>
              <w:rPr>
                <w:rFonts w:ascii="Garamond" w:hAnsi="Garamond"/>
                <w:sz w:val="24"/>
                <w:szCs w:val="24"/>
              </w:rPr>
              <w:t>Econ 1202 Principles of Macroeconomics, T.A.</w:t>
            </w:r>
          </w:p>
        </w:tc>
      </w:tr>
      <w:tr w:rsidR="00226567" w:rsidRPr="007C7611" w14:paraId="003DB1EF" w14:textId="77777777">
        <w:tc>
          <w:tcPr>
            <w:tcW w:w="287" w:type="dxa"/>
          </w:tcPr>
          <w:p w14:paraId="250072E9" w14:textId="06186DF4" w:rsidR="00226567" w:rsidRPr="007C7611" w:rsidRDefault="00226567">
            <w:pPr>
              <w:rPr>
                <w:rFonts w:ascii="Garamond" w:hAnsi="Garamond"/>
                <w:sz w:val="24"/>
                <w:szCs w:val="24"/>
              </w:rPr>
            </w:pPr>
          </w:p>
        </w:tc>
        <w:tc>
          <w:tcPr>
            <w:tcW w:w="9181" w:type="dxa"/>
            <w:gridSpan w:val="6"/>
          </w:tcPr>
          <w:p w14:paraId="1D452233" w14:textId="77777777" w:rsidR="00226567" w:rsidRPr="007C7611" w:rsidRDefault="00226567">
            <w:pPr>
              <w:rPr>
                <w:rFonts w:ascii="Garamond" w:hAnsi="Garamond"/>
                <w:sz w:val="24"/>
                <w:szCs w:val="24"/>
              </w:rPr>
            </w:pPr>
          </w:p>
        </w:tc>
      </w:tr>
      <w:tr w:rsidR="00226567" w:rsidRPr="007C7611" w14:paraId="7828A2C4" w14:textId="77777777">
        <w:tc>
          <w:tcPr>
            <w:tcW w:w="9468" w:type="dxa"/>
            <w:gridSpan w:val="7"/>
          </w:tcPr>
          <w:p w14:paraId="59DFC22A" w14:textId="3F287D0D" w:rsidR="00226567" w:rsidRPr="007C7611" w:rsidRDefault="00226567">
            <w:pPr>
              <w:rPr>
                <w:rFonts w:ascii="Garamond" w:hAnsi="Garamond"/>
                <w:b/>
                <w:sz w:val="24"/>
                <w:szCs w:val="24"/>
                <w:u w:val="single"/>
              </w:rPr>
            </w:pPr>
            <w:r w:rsidRPr="00BB46F9">
              <w:rPr>
                <w:rFonts w:ascii="Garamond" w:hAnsi="Garamond"/>
                <w:b/>
                <w:sz w:val="24"/>
                <w:szCs w:val="24"/>
              </w:rPr>
              <w:t>Other Employment</w:t>
            </w:r>
            <w:r w:rsidRPr="00F35AD8">
              <w:rPr>
                <w:rFonts w:ascii="Garamond" w:hAnsi="Garamond"/>
                <w:b/>
                <w:sz w:val="24"/>
                <w:szCs w:val="24"/>
              </w:rPr>
              <w:t>:</w:t>
            </w:r>
          </w:p>
        </w:tc>
      </w:tr>
      <w:tr w:rsidR="00226567" w:rsidRPr="007C7611" w14:paraId="056D0B2A" w14:textId="77777777">
        <w:tc>
          <w:tcPr>
            <w:tcW w:w="287" w:type="dxa"/>
          </w:tcPr>
          <w:p w14:paraId="49F93BCE" w14:textId="77777777" w:rsidR="00226567" w:rsidRPr="007C7611" w:rsidRDefault="00226567">
            <w:pPr>
              <w:rPr>
                <w:rFonts w:ascii="Garamond" w:hAnsi="Garamond"/>
                <w:sz w:val="24"/>
                <w:szCs w:val="24"/>
              </w:rPr>
            </w:pPr>
          </w:p>
        </w:tc>
        <w:tc>
          <w:tcPr>
            <w:tcW w:w="1584" w:type="dxa"/>
            <w:gridSpan w:val="2"/>
          </w:tcPr>
          <w:p w14:paraId="79781863" w14:textId="374FE6C8" w:rsidR="00226567" w:rsidRPr="007C7611" w:rsidRDefault="00587CBD">
            <w:pPr>
              <w:rPr>
                <w:rFonts w:ascii="Garamond" w:hAnsi="Garamond"/>
                <w:sz w:val="24"/>
                <w:szCs w:val="24"/>
              </w:rPr>
            </w:pPr>
            <w:r>
              <w:rPr>
                <w:rFonts w:ascii="Garamond" w:hAnsi="Garamond"/>
                <w:sz w:val="24"/>
                <w:szCs w:val="24"/>
              </w:rPr>
              <w:t>2011-2013</w:t>
            </w:r>
          </w:p>
        </w:tc>
        <w:tc>
          <w:tcPr>
            <w:tcW w:w="7597" w:type="dxa"/>
            <w:gridSpan w:val="4"/>
          </w:tcPr>
          <w:p w14:paraId="0F4C83E8" w14:textId="468F472F" w:rsidR="00226567" w:rsidRPr="007C7611" w:rsidRDefault="00587CBD" w:rsidP="00587CBD">
            <w:pPr>
              <w:rPr>
                <w:rFonts w:ascii="Garamond" w:hAnsi="Garamond"/>
                <w:sz w:val="24"/>
                <w:szCs w:val="24"/>
              </w:rPr>
            </w:pPr>
            <w:r>
              <w:rPr>
                <w:rFonts w:ascii="Garamond" w:hAnsi="Garamond"/>
                <w:sz w:val="24"/>
                <w:szCs w:val="24"/>
              </w:rPr>
              <w:t xml:space="preserve">Application Specialist, Valuation, Modelling and Forecasting team, </w:t>
            </w:r>
            <w:proofErr w:type="spellStart"/>
            <w:r>
              <w:rPr>
                <w:rFonts w:ascii="Garamond" w:hAnsi="Garamond"/>
                <w:sz w:val="24"/>
                <w:szCs w:val="24"/>
              </w:rPr>
              <w:t>Yardi</w:t>
            </w:r>
            <w:proofErr w:type="spellEnd"/>
            <w:r>
              <w:rPr>
                <w:rFonts w:ascii="Garamond" w:hAnsi="Garamond"/>
                <w:sz w:val="24"/>
                <w:szCs w:val="24"/>
              </w:rPr>
              <w:t xml:space="preserve"> Systems</w:t>
            </w:r>
          </w:p>
        </w:tc>
      </w:tr>
      <w:tr w:rsidR="00226567" w:rsidRPr="007C7611" w14:paraId="6A1BA622" w14:textId="77777777">
        <w:tc>
          <w:tcPr>
            <w:tcW w:w="287" w:type="dxa"/>
          </w:tcPr>
          <w:p w14:paraId="30D88B19" w14:textId="77777777" w:rsidR="00226567" w:rsidRPr="007C7611" w:rsidRDefault="00226567">
            <w:pPr>
              <w:rPr>
                <w:rFonts w:ascii="Garamond" w:hAnsi="Garamond"/>
                <w:sz w:val="24"/>
                <w:szCs w:val="24"/>
              </w:rPr>
            </w:pPr>
          </w:p>
        </w:tc>
        <w:tc>
          <w:tcPr>
            <w:tcW w:w="1584" w:type="dxa"/>
            <w:gridSpan w:val="2"/>
          </w:tcPr>
          <w:p w14:paraId="7E5D11C6" w14:textId="0BF1F845" w:rsidR="00226567" w:rsidRPr="007C7611" w:rsidRDefault="00226567" w:rsidP="006656F4">
            <w:pPr>
              <w:rPr>
                <w:rFonts w:ascii="Garamond" w:hAnsi="Garamond"/>
                <w:sz w:val="24"/>
                <w:szCs w:val="24"/>
              </w:rPr>
            </w:pPr>
          </w:p>
        </w:tc>
        <w:tc>
          <w:tcPr>
            <w:tcW w:w="7597" w:type="dxa"/>
            <w:gridSpan w:val="4"/>
          </w:tcPr>
          <w:p w14:paraId="537FD503" w14:textId="01AAAE6B" w:rsidR="00226567" w:rsidRPr="007C7611" w:rsidRDefault="00226567">
            <w:pPr>
              <w:rPr>
                <w:rFonts w:ascii="Garamond" w:hAnsi="Garamond"/>
                <w:sz w:val="24"/>
                <w:szCs w:val="24"/>
              </w:rPr>
            </w:pPr>
          </w:p>
        </w:tc>
      </w:tr>
      <w:tr w:rsidR="00226567" w:rsidRPr="007C7611" w14:paraId="591FF058" w14:textId="77777777" w:rsidTr="00EA3D5B">
        <w:tc>
          <w:tcPr>
            <w:tcW w:w="9468" w:type="dxa"/>
            <w:gridSpan w:val="7"/>
          </w:tcPr>
          <w:p w14:paraId="703C6C9F" w14:textId="4C820040" w:rsidR="00226567" w:rsidRPr="007C7611" w:rsidRDefault="00226567" w:rsidP="00EA3D5B">
            <w:pPr>
              <w:rPr>
                <w:rFonts w:ascii="Garamond" w:hAnsi="Garamond"/>
                <w:b/>
                <w:sz w:val="24"/>
                <w:szCs w:val="24"/>
                <w:u w:val="single"/>
              </w:rPr>
            </w:pPr>
            <w:r>
              <w:rPr>
                <w:rFonts w:ascii="Garamond" w:hAnsi="Garamond"/>
                <w:b/>
                <w:sz w:val="24"/>
                <w:szCs w:val="24"/>
              </w:rPr>
              <w:lastRenderedPageBreak/>
              <w:t>Presentations</w:t>
            </w:r>
          </w:p>
        </w:tc>
      </w:tr>
      <w:tr w:rsidR="00226567" w:rsidRPr="007C7611" w14:paraId="5B55B7BF" w14:textId="77777777" w:rsidTr="00587CBD">
        <w:trPr>
          <w:gridBefore w:val="1"/>
          <w:gridAfter w:val="1"/>
          <w:wBefore w:w="287" w:type="dxa"/>
          <w:wAfter w:w="287" w:type="dxa"/>
          <w:trHeight w:val="909"/>
        </w:trPr>
        <w:tc>
          <w:tcPr>
            <w:tcW w:w="1297" w:type="dxa"/>
          </w:tcPr>
          <w:p w14:paraId="0D4D4B92" w14:textId="600B1D81" w:rsidR="00226567" w:rsidRDefault="00226567" w:rsidP="00EA3D5B">
            <w:pPr>
              <w:rPr>
                <w:rFonts w:ascii="Garamond" w:hAnsi="Garamond"/>
                <w:sz w:val="24"/>
                <w:szCs w:val="24"/>
              </w:rPr>
            </w:pPr>
            <w:r>
              <w:rPr>
                <w:rFonts w:ascii="Garamond" w:hAnsi="Garamond"/>
                <w:sz w:val="24"/>
                <w:szCs w:val="24"/>
              </w:rPr>
              <w:t>201</w:t>
            </w:r>
            <w:r w:rsidR="00587CBD">
              <w:rPr>
                <w:rFonts w:ascii="Garamond" w:hAnsi="Garamond"/>
                <w:sz w:val="24"/>
                <w:szCs w:val="24"/>
              </w:rPr>
              <w:t>8</w:t>
            </w:r>
          </w:p>
          <w:p w14:paraId="183110F0" w14:textId="7B0472EE" w:rsidR="00226567" w:rsidRDefault="00587CBD" w:rsidP="00EA3D5B">
            <w:pPr>
              <w:rPr>
                <w:rFonts w:ascii="Garamond" w:hAnsi="Garamond"/>
                <w:sz w:val="24"/>
                <w:szCs w:val="24"/>
              </w:rPr>
            </w:pPr>
            <w:r>
              <w:rPr>
                <w:rFonts w:ascii="Garamond" w:hAnsi="Garamond"/>
                <w:sz w:val="24"/>
                <w:szCs w:val="24"/>
              </w:rPr>
              <w:t>2017</w:t>
            </w:r>
          </w:p>
          <w:p w14:paraId="39543F0E" w14:textId="74BA1915" w:rsidR="00226567" w:rsidRPr="007C7611" w:rsidRDefault="00587CBD" w:rsidP="00EA3D5B">
            <w:pPr>
              <w:rPr>
                <w:rFonts w:ascii="Garamond" w:hAnsi="Garamond"/>
                <w:sz w:val="24"/>
                <w:szCs w:val="24"/>
              </w:rPr>
            </w:pPr>
            <w:r>
              <w:rPr>
                <w:rFonts w:ascii="Garamond" w:hAnsi="Garamond"/>
                <w:sz w:val="24"/>
                <w:szCs w:val="24"/>
              </w:rPr>
              <w:t>2016</w:t>
            </w:r>
          </w:p>
        </w:tc>
        <w:tc>
          <w:tcPr>
            <w:tcW w:w="7597" w:type="dxa"/>
            <w:gridSpan w:val="4"/>
          </w:tcPr>
          <w:p w14:paraId="4DBADDC6" w14:textId="14DAD657" w:rsidR="00587CBD" w:rsidRDefault="00587CBD" w:rsidP="00587CBD">
            <w:pPr>
              <w:rPr>
                <w:rFonts w:ascii="Garamond" w:hAnsi="Garamond"/>
                <w:sz w:val="24"/>
                <w:szCs w:val="24"/>
              </w:rPr>
            </w:pPr>
            <w:r>
              <w:rPr>
                <w:rFonts w:ascii="Garamond" w:hAnsi="Garamond"/>
                <w:sz w:val="24"/>
                <w:szCs w:val="24"/>
              </w:rPr>
              <w:t>ASSA Meeting (D.C.)</w:t>
            </w:r>
          </w:p>
          <w:p w14:paraId="05679711" w14:textId="77777777" w:rsidR="00226567" w:rsidRDefault="00587CBD" w:rsidP="00587CBD">
            <w:pPr>
              <w:rPr>
                <w:rFonts w:ascii="Garamond" w:hAnsi="Garamond"/>
                <w:sz w:val="24"/>
                <w:szCs w:val="24"/>
              </w:rPr>
            </w:pPr>
            <w:r>
              <w:rPr>
                <w:rFonts w:ascii="Garamond" w:hAnsi="Garamond"/>
                <w:sz w:val="24"/>
                <w:szCs w:val="24"/>
              </w:rPr>
              <w:t>UConn Macro Seminar Series, Spring Mid-west Macro Meeting (LSU)</w:t>
            </w:r>
          </w:p>
          <w:p w14:paraId="7003C2D1" w14:textId="721B28CF" w:rsidR="00587CBD" w:rsidRPr="007C7611" w:rsidRDefault="00587CBD" w:rsidP="00587CBD">
            <w:pPr>
              <w:rPr>
                <w:rFonts w:ascii="Garamond" w:hAnsi="Garamond"/>
                <w:sz w:val="24"/>
                <w:szCs w:val="24"/>
              </w:rPr>
            </w:pPr>
            <w:r>
              <w:rPr>
                <w:rFonts w:ascii="Garamond" w:hAnsi="Garamond"/>
                <w:sz w:val="24"/>
                <w:szCs w:val="24"/>
              </w:rPr>
              <w:t>UConn Labor Seminar Series, UConn Conflict Seminar Series,</w:t>
            </w:r>
          </w:p>
        </w:tc>
      </w:tr>
      <w:tr w:rsidR="00226567" w:rsidRPr="007C7611" w14:paraId="16EADBAB" w14:textId="77777777" w:rsidTr="00EA3D5B">
        <w:trPr>
          <w:gridAfter w:val="1"/>
          <w:wAfter w:w="287" w:type="dxa"/>
        </w:trPr>
        <w:tc>
          <w:tcPr>
            <w:tcW w:w="1584" w:type="dxa"/>
            <w:gridSpan w:val="2"/>
          </w:tcPr>
          <w:p w14:paraId="5A694E6E" w14:textId="1433B535" w:rsidR="00226567" w:rsidRPr="007C7611" w:rsidRDefault="00226567" w:rsidP="00EA3D5B">
            <w:pPr>
              <w:rPr>
                <w:rFonts w:ascii="Garamond" w:hAnsi="Garamond"/>
                <w:sz w:val="24"/>
                <w:szCs w:val="24"/>
              </w:rPr>
            </w:pPr>
          </w:p>
        </w:tc>
        <w:tc>
          <w:tcPr>
            <w:tcW w:w="7597" w:type="dxa"/>
            <w:gridSpan w:val="4"/>
          </w:tcPr>
          <w:p w14:paraId="6E719841" w14:textId="15A27373" w:rsidR="00226567" w:rsidRPr="007C7611" w:rsidRDefault="00226567" w:rsidP="00EA3D5B">
            <w:pPr>
              <w:rPr>
                <w:rFonts w:ascii="Garamond" w:hAnsi="Garamond"/>
                <w:sz w:val="24"/>
                <w:szCs w:val="24"/>
              </w:rPr>
            </w:pPr>
          </w:p>
        </w:tc>
      </w:tr>
    </w:tbl>
    <w:tbl>
      <w:tblPr>
        <w:tblpPr w:leftFromText="180" w:rightFromText="180" w:vertAnchor="text" w:tblpY="1"/>
        <w:tblOverlap w:val="never"/>
        <w:tblW w:w="9468" w:type="dxa"/>
        <w:tblLook w:val="01E0" w:firstRow="1" w:lastRow="1" w:firstColumn="1" w:lastColumn="1" w:noHBand="0" w:noVBand="0"/>
      </w:tblPr>
      <w:tblGrid>
        <w:gridCol w:w="287"/>
        <w:gridCol w:w="1604"/>
        <w:gridCol w:w="7577"/>
      </w:tblGrid>
      <w:tr w:rsidR="00EA3D5B" w:rsidRPr="007C7611" w14:paraId="459D38EB" w14:textId="77777777" w:rsidTr="00B73884">
        <w:tc>
          <w:tcPr>
            <w:tcW w:w="9468" w:type="dxa"/>
            <w:gridSpan w:val="3"/>
          </w:tcPr>
          <w:p w14:paraId="4B8B99EF" w14:textId="3EB013C7" w:rsidR="00EA3D5B" w:rsidRPr="007C7611" w:rsidRDefault="00EA3D5B" w:rsidP="00B73884">
            <w:pPr>
              <w:rPr>
                <w:rFonts w:ascii="Garamond" w:hAnsi="Garamond"/>
                <w:b/>
                <w:sz w:val="24"/>
                <w:szCs w:val="24"/>
              </w:rPr>
            </w:pPr>
            <w:r w:rsidRPr="00BB46F9">
              <w:rPr>
                <w:rFonts w:ascii="Garamond" w:hAnsi="Garamond"/>
                <w:b/>
                <w:sz w:val="24"/>
                <w:szCs w:val="24"/>
              </w:rPr>
              <w:t>Honors</w:t>
            </w:r>
            <w:r w:rsidR="00B73884">
              <w:rPr>
                <w:rFonts w:ascii="Garamond" w:hAnsi="Garamond"/>
                <w:b/>
                <w:sz w:val="24"/>
                <w:szCs w:val="24"/>
              </w:rPr>
              <w:t xml:space="preserve"> and Awards</w:t>
            </w:r>
          </w:p>
        </w:tc>
      </w:tr>
      <w:tr w:rsidR="00EA3D5B" w:rsidRPr="007C7611" w14:paraId="2006F748" w14:textId="77777777" w:rsidTr="00B73884">
        <w:tc>
          <w:tcPr>
            <w:tcW w:w="287" w:type="dxa"/>
          </w:tcPr>
          <w:p w14:paraId="3B9D7A12" w14:textId="77777777" w:rsidR="00EA3D5B" w:rsidRPr="007C7611" w:rsidRDefault="00EA3D5B" w:rsidP="00B73884">
            <w:pPr>
              <w:rPr>
                <w:rFonts w:ascii="Garamond" w:hAnsi="Garamond"/>
                <w:sz w:val="24"/>
                <w:szCs w:val="24"/>
              </w:rPr>
            </w:pPr>
          </w:p>
        </w:tc>
        <w:tc>
          <w:tcPr>
            <w:tcW w:w="1604" w:type="dxa"/>
          </w:tcPr>
          <w:p w14:paraId="6B967817" w14:textId="0078B12A" w:rsidR="00B73884" w:rsidRDefault="002F20F1" w:rsidP="00B73884">
            <w:pPr>
              <w:rPr>
                <w:rFonts w:ascii="Garamond" w:hAnsi="Garamond"/>
                <w:sz w:val="24"/>
                <w:szCs w:val="24"/>
              </w:rPr>
            </w:pPr>
            <w:r>
              <w:rPr>
                <w:rFonts w:ascii="Garamond" w:hAnsi="Garamond"/>
                <w:sz w:val="24"/>
                <w:szCs w:val="24"/>
              </w:rPr>
              <w:t>2017</w:t>
            </w:r>
          </w:p>
          <w:p w14:paraId="73F61DCB" w14:textId="70ADBB43" w:rsidR="00027352" w:rsidRDefault="002F20F1" w:rsidP="00B73884">
            <w:pPr>
              <w:rPr>
                <w:rFonts w:ascii="Garamond" w:hAnsi="Garamond"/>
                <w:sz w:val="24"/>
                <w:szCs w:val="24"/>
              </w:rPr>
            </w:pPr>
            <w:r>
              <w:rPr>
                <w:rFonts w:ascii="Garamond" w:hAnsi="Garamond"/>
                <w:sz w:val="24"/>
                <w:szCs w:val="24"/>
              </w:rPr>
              <w:t>2016</w:t>
            </w:r>
          </w:p>
          <w:p w14:paraId="76DC38D4" w14:textId="1D174AF8" w:rsidR="00CF109D" w:rsidRDefault="002F20F1" w:rsidP="00B73884">
            <w:pPr>
              <w:rPr>
                <w:rFonts w:ascii="Garamond" w:hAnsi="Garamond"/>
                <w:sz w:val="24"/>
                <w:szCs w:val="24"/>
              </w:rPr>
            </w:pPr>
            <w:r>
              <w:rPr>
                <w:rFonts w:ascii="Garamond" w:hAnsi="Garamond"/>
                <w:sz w:val="24"/>
                <w:szCs w:val="24"/>
              </w:rPr>
              <w:t>2014</w:t>
            </w:r>
          </w:p>
          <w:p w14:paraId="23FB9E90" w14:textId="77777777" w:rsidR="00EA3D5B" w:rsidRDefault="002F20F1" w:rsidP="009F1555">
            <w:pPr>
              <w:rPr>
                <w:rFonts w:ascii="Garamond" w:hAnsi="Garamond"/>
                <w:sz w:val="24"/>
                <w:szCs w:val="24"/>
              </w:rPr>
            </w:pPr>
            <w:r>
              <w:rPr>
                <w:rFonts w:ascii="Garamond" w:hAnsi="Garamond"/>
                <w:sz w:val="24"/>
                <w:szCs w:val="24"/>
              </w:rPr>
              <w:t>2011</w:t>
            </w:r>
          </w:p>
          <w:p w14:paraId="2360D131" w14:textId="77BC1DBE" w:rsidR="002F20F1" w:rsidRPr="007C7611" w:rsidRDefault="002F20F1" w:rsidP="009F1555">
            <w:pPr>
              <w:rPr>
                <w:rFonts w:ascii="Garamond" w:hAnsi="Garamond"/>
                <w:sz w:val="24"/>
                <w:szCs w:val="24"/>
              </w:rPr>
            </w:pPr>
            <w:r>
              <w:rPr>
                <w:rFonts w:ascii="Garamond" w:hAnsi="Garamond"/>
                <w:sz w:val="24"/>
                <w:szCs w:val="24"/>
              </w:rPr>
              <w:t>2009</w:t>
            </w:r>
          </w:p>
        </w:tc>
        <w:tc>
          <w:tcPr>
            <w:tcW w:w="7577" w:type="dxa"/>
          </w:tcPr>
          <w:p w14:paraId="4C039CAE" w14:textId="4D32E5F3" w:rsidR="00027352" w:rsidRDefault="002F20F1" w:rsidP="00B73884">
            <w:pPr>
              <w:rPr>
                <w:rFonts w:ascii="Garamond" w:hAnsi="Garamond"/>
                <w:sz w:val="24"/>
                <w:szCs w:val="24"/>
              </w:rPr>
            </w:pPr>
            <w:r>
              <w:rPr>
                <w:rFonts w:ascii="Garamond" w:hAnsi="Garamond"/>
                <w:sz w:val="24"/>
                <w:szCs w:val="24"/>
              </w:rPr>
              <w:t>Timothy A. and Beverly C Holt Fellowship</w:t>
            </w:r>
          </w:p>
          <w:p w14:paraId="513B2F0E" w14:textId="580B968D" w:rsidR="00CF109D" w:rsidRDefault="002F20F1" w:rsidP="00B73884">
            <w:pPr>
              <w:rPr>
                <w:rFonts w:ascii="Garamond" w:hAnsi="Garamond"/>
                <w:sz w:val="24"/>
                <w:szCs w:val="24"/>
              </w:rPr>
            </w:pPr>
            <w:r>
              <w:rPr>
                <w:rFonts w:ascii="Garamond" w:hAnsi="Garamond"/>
                <w:sz w:val="24"/>
                <w:szCs w:val="24"/>
              </w:rPr>
              <w:t xml:space="preserve">Abraham </w:t>
            </w:r>
            <w:proofErr w:type="spellStart"/>
            <w:r>
              <w:rPr>
                <w:rFonts w:ascii="Garamond" w:hAnsi="Garamond"/>
                <w:sz w:val="24"/>
                <w:szCs w:val="24"/>
              </w:rPr>
              <w:t>Ribicoff</w:t>
            </w:r>
            <w:proofErr w:type="spellEnd"/>
            <w:r>
              <w:rPr>
                <w:rFonts w:ascii="Garamond" w:hAnsi="Garamond"/>
                <w:sz w:val="24"/>
                <w:szCs w:val="24"/>
              </w:rPr>
              <w:t xml:space="preserve"> Fellowship</w:t>
            </w:r>
          </w:p>
          <w:p w14:paraId="798F317D" w14:textId="30E22DF7" w:rsidR="00B833EE" w:rsidRDefault="002F20F1" w:rsidP="00B833EE">
            <w:pPr>
              <w:rPr>
                <w:rFonts w:ascii="Garamond" w:hAnsi="Garamond"/>
                <w:sz w:val="24"/>
                <w:szCs w:val="24"/>
              </w:rPr>
            </w:pPr>
            <w:r>
              <w:rPr>
                <w:rFonts w:ascii="Garamond" w:hAnsi="Garamond"/>
                <w:sz w:val="24"/>
                <w:szCs w:val="24"/>
              </w:rPr>
              <w:t>Economic Department Graduate Fellowship</w:t>
            </w:r>
          </w:p>
          <w:p w14:paraId="62EB0213" w14:textId="700A26FB" w:rsidR="00B833EE" w:rsidRDefault="002F20F1" w:rsidP="00B833EE">
            <w:pPr>
              <w:rPr>
                <w:rFonts w:ascii="Garamond" w:hAnsi="Garamond"/>
                <w:sz w:val="24"/>
                <w:szCs w:val="24"/>
              </w:rPr>
            </w:pPr>
            <w:r>
              <w:rPr>
                <w:rFonts w:ascii="Garamond" w:hAnsi="Garamond"/>
                <w:sz w:val="24"/>
                <w:szCs w:val="24"/>
              </w:rPr>
              <w:t>Westmont Economics Essay Contest: First Place</w:t>
            </w:r>
          </w:p>
          <w:p w14:paraId="50866B9C" w14:textId="73A1F608" w:rsidR="002F20F1" w:rsidRDefault="002F20F1" w:rsidP="00B833EE">
            <w:pPr>
              <w:rPr>
                <w:rFonts w:ascii="Garamond" w:hAnsi="Garamond"/>
                <w:sz w:val="24"/>
                <w:szCs w:val="24"/>
              </w:rPr>
            </w:pPr>
            <w:r>
              <w:rPr>
                <w:rFonts w:ascii="Garamond" w:hAnsi="Garamond"/>
                <w:sz w:val="24"/>
                <w:szCs w:val="24"/>
              </w:rPr>
              <w:t>Golden Eagle Student Athlete of the Year</w:t>
            </w:r>
          </w:p>
          <w:p w14:paraId="544617AC" w14:textId="056A87DE" w:rsidR="00EA3D5B" w:rsidRPr="007C7611" w:rsidRDefault="00EA3D5B" w:rsidP="00B73884">
            <w:pPr>
              <w:rPr>
                <w:rFonts w:ascii="Garamond" w:hAnsi="Garamond"/>
                <w:sz w:val="24"/>
                <w:szCs w:val="24"/>
              </w:rPr>
            </w:pPr>
          </w:p>
        </w:tc>
      </w:tr>
      <w:tr w:rsidR="00EA3D5B" w:rsidRPr="007C7611" w14:paraId="76A509AA" w14:textId="77777777" w:rsidTr="00B73884">
        <w:tc>
          <w:tcPr>
            <w:tcW w:w="9468" w:type="dxa"/>
            <w:gridSpan w:val="3"/>
          </w:tcPr>
          <w:p w14:paraId="0A4AE7A3" w14:textId="06FECAF0" w:rsidR="00EA3D5B" w:rsidRPr="007C7611" w:rsidRDefault="00EA3D5B" w:rsidP="00B73884">
            <w:pPr>
              <w:rPr>
                <w:rFonts w:ascii="Garamond" w:hAnsi="Garamond"/>
                <w:sz w:val="24"/>
                <w:szCs w:val="24"/>
              </w:rPr>
            </w:pPr>
            <w:r w:rsidRPr="00BB46F9">
              <w:rPr>
                <w:rFonts w:ascii="Garamond" w:hAnsi="Garamond"/>
                <w:b/>
                <w:sz w:val="24"/>
                <w:szCs w:val="24"/>
              </w:rPr>
              <w:t>Research Papers:</w:t>
            </w:r>
            <w:r w:rsidRPr="007C7611">
              <w:rPr>
                <w:rFonts w:ascii="Garamond" w:hAnsi="Garamond"/>
                <w:sz w:val="24"/>
                <w:szCs w:val="24"/>
              </w:rPr>
              <w:t xml:space="preserve"> </w:t>
            </w:r>
          </w:p>
        </w:tc>
      </w:tr>
      <w:tr w:rsidR="00EA3D5B" w:rsidRPr="007C7611" w14:paraId="63AE3CDF" w14:textId="77777777" w:rsidTr="00B73884">
        <w:tc>
          <w:tcPr>
            <w:tcW w:w="9468" w:type="dxa"/>
            <w:gridSpan w:val="3"/>
          </w:tcPr>
          <w:p w14:paraId="2B919DFB" w14:textId="23162B4D" w:rsidR="002F20F1" w:rsidRDefault="00E74CD9" w:rsidP="00B73884">
            <w:pPr>
              <w:rPr>
                <w:rFonts w:ascii="Garamond" w:hAnsi="Garamond"/>
                <w:sz w:val="24"/>
                <w:szCs w:val="24"/>
              </w:rPr>
            </w:pPr>
            <w:r w:rsidRPr="00E74CD9">
              <w:rPr>
                <w:rFonts w:ascii="Garamond" w:hAnsi="Garamond"/>
                <w:sz w:val="24"/>
                <w:szCs w:val="24"/>
              </w:rPr>
              <w:t>“</w:t>
            </w:r>
            <w:r w:rsidR="002F20F1">
              <w:t xml:space="preserve"> </w:t>
            </w:r>
            <w:r w:rsidR="002F20F1" w:rsidRPr="002F20F1">
              <w:rPr>
                <w:rFonts w:ascii="Garamond" w:hAnsi="Garamond"/>
                <w:sz w:val="24"/>
                <w:szCs w:val="24"/>
              </w:rPr>
              <w:t>Houses Divided: A Model of Intergenerational Transfers, Differential Fertility and Wealth Inequality</w:t>
            </w:r>
            <w:r w:rsidRPr="00E74CD9">
              <w:rPr>
                <w:rFonts w:ascii="Garamond" w:hAnsi="Garamond"/>
                <w:sz w:val="24"/>
                <w:szCs w:val="24"/>
              </w:rPr>
              <w:t xml:space="preserve">” </w:t>
            </w:r>
            <w:r w:rsidR="002F20F1">
              <w:rPr>
                <w:rFonts w:ascii="Garamond" w:hAnsi="Garamond"/>
                <w:sz w:val="24"/>
                <w:szCs w:val="24"/>
              </w:rPr>
              <w:t xml:space="preserve">(With </w:t>
            </w:r>
            <w:r w:rsidR="00F37367">
              <w:rPr>
                <w:rFonts w:ascii="Garamond" w:hAnsi="Garamond"/>
                <w:sz w:val="24"/>
                <w:szCs w:val="24"/>
              </w:rPr>
              <w:t xml:space="preserve"> </w:t>
            </w:r>
            <w:r w:rsidR="00F37367">
              <w:rPr>
                <w:rFonts w:ascii="Garamond" w:hAnsi="Garamond"/>
                <w:sz w:val="24"/>
                <w:szCs w:val="24"/>
              </w:rPr>
              <w:t>Hyun Lee</w:t>
            </w:r>
            <w:r w:rsidR="00F37367">
              <w:rPr>
                <w:rFonts w:ascii="Garamond" w:hAnsi="Garamond"/>
                <w:sz w:val="24"/>
                <w:szCs w:val="24"/>
              </w:rPr>
              <w:t xml:space="preserve"> </w:t>
            </w:r>
            <w:r w:rsidR="002F20F1">
              <w:rPr>
                <w:rFonts w:ascii="Garamond" w:hAnsi="Garamond"/>
                <w:sz w:val="24"/>
                <w:szCs w:val="24"/>
              </w:rPr>
              <w:t>and</w:t>
            </w:r>
            <w:r w:rsidR="00F37367">
              <w:rPr>
                <w:rFonts w:ascii="Garamond" w:hAnsi="Garamond"/>
                <w:sz w:val="24"/>
                <w:szCs w:val="24"/>
              </w:rPr>
              <w:t xml:space="preserve"> </w:t>
            </w:r>
            <w:r w:rsidR="00F37367">
              <w:rPr>
                <w:rFonts w:ascii="Garamond" w:hAnsi="Garamond"/>
                <w:sz w:val="24"/>
                <w:szCs w:val="24"/>
              </w:rPr>
              <w:t>Kai Zhao</w:t>
            </w:r>
            <w:bookmarkStart w:id="0" w:name="_GoBack"/>
            <w:bookmarkEnd w:id="0"/>
            <w:r w:rsidR="002F20F1">
              <w:rPr>
                <w:rFonts w:ascii="Garamond" w:hAnsi="Garamond"/>
                <w:sz w:val="24"/>
                <w:szCs w:val="24"/>
              </w:rPr>
              <w:t>)</w:t>
            </w:r>
          </w:p>
          <w:p w14:paraId="3470BA77" w14:textId="0C668186" w:rsidR="00CA3A31" w:rsidRPr="00CA3A31" w:rsidRDefault="00EA3D5B" w:rsidP="00B73884">
            <w:pPr>
              <w:rPr>
                <w:rFonts w:ascii="Garamond" w:hAnsi="Garamond"/>
                <w:b/>
                <w:sz w:val="24"/>
                <w:szCs w:val="24"/>
              </w:rPr>
            </w:pPr>
            <w:r w:rsidRPr="000A7B31">
              <w:rPr>
                <w:rFonts w:ascii="Garamond" w:hAnsi="Garamond"/>
                <w:b/>
                <w:sz w:val="24"/>
                <w:szCs w:val="24"/>
              </w:rPr>
              <w:t>(Job Market Paper)</w:t>
            </w:r>
          </w:p>
        </w:tc>
      </w:tr>
      <w:tr w:rsidR="00EA3D5B" w:rsidRPr="007C7611" w14:paraId="06B6C422" w14:textId="77777777" w:rsidTr="00B73884">
        <w:tc>
          <w:tcPr>
            <w:tcW w:w="9468" w:type="dxa"/>
            <w:gridSpan w:val="3"/>
          </w:tcPr>
          <w:p w14:paraId="69A3FE0D" w14:textId="2D2DC579" w:rsidR="008175D2" w:rsidRDefault="00B73884" w:rsidP="00D657F9">
            <w:pPr>
              <w:rPr>
                <w:rFonts w:ascii="Garamond" w:hAnsi="Garamond"/>
              </w:rPr>
            </w:pPr>
            <w:r w:rsidRPr="00E74CD9">
              <w:rPr>
                <w:rFonts w:ascii="Garamond" w:hAnsi="Garamond"/>
                <w:i/>
              </w:rPr>
              <w:t>Abstract:</w:t>
            </w:r>
            <w:r w:rsidRPr="00E74CD9">
              <w:rPr>
                <w:rFonts w:ascii="Garamond" w:hAnsi="Garamond"/>
              </w:rPr>
              <w:t xml:space="preserve"> </w:t>
            </w:r>
            <w:r w:rsidR="002F20F1">
              <w:t xml:space="preserve">  </w:t>
            </w:r>
            <w:r w:rsidR="002F20F1" w:rsidRPr="002F20F1">
              <w:rPr>
                <w:rFonts w:ascii="Garamond" w:hAnsi="Garamond"/>
              </w:rPr>
              <w:t>This paper contributes to the existing literature by studying the impact on wealth inequality from life-cycle savings, intergenerational transfers, and fertility differences between the rich and the poor. We find that bequests have a significant impact on the level of wealth inequality and that the fertility difference between the rich and the poor amplifies the effect of bequests.</w:t>
            </w:r>
          </w:p>
          <w:p w14:paraId="09468603" w14:textId="77777777" w:rsidR="00AF42EF" w:rsidRPr="00E74CD9" w:rsidRDefault="00AF42EF" w:rsidP="00D657F9">
            <w:pPr>
              <w:rPr>
                <w:rFonts w:ascii="Garamond" w:hAnsi="Garamond"/>
              </w:rPr>
            </w:pPr>
          </w:p>
          <w:p w14:paraId="5D12E027" w14:textId="77777777" w:rsidR="002F20F1" w:rsidRDefault="00D237B5" w:rsidP="002F20F1">
            <w:pPr>
              <w:rPr>
                <w:rFonts w:ascii="Garamond" w:hAnsi="Garamond"/>
                <w:sz w:val="24"/>
                <w:szCs w:val="24"/>
              </w:rPr>
            </w:pPr>
            <w:r w:rsidRPr="0082775D">
              <w:rPr>
                <w:rFonts w:ascii="Garamond" w:hAnsi="Garamond"/>
                <w:sz w:val="24"/>
                <w:szCs w:val="24"/>
              </w:rPr>
              <w:t>“</w:t>
            </w:r>
            <w:r w:rsidR="002F20F1" w:rsidRPr="002F20F1">
              <w:rPr>
                <w:rFonts w:ascii="Garamond" w:hAnsi="Garamond"/>
                <w:sz w:val="24"/>
                <w:szCs w:val="24"/>
              </w:rPr>
              <w:t>Taxing the Dead: an analysis of intergenerational transfers and levies</w:t>
            </w:r>
            <w:r w:rsidRPr="0082775D">
              <w:rPr>
                <w:rFonts w:ascii="Garamond" w:hAnsi="Garamond"/>
                <w:sz w:val="24"/>
                <w:szCs w:val="24"/>
              </w:rPr>
              <w:t xml:space="preserve">” </w:t>
            </w:r>
          </w:p>
          <w:p w14:paraId="7ECDC565" w14:textId="77777777" w:rsidR="00EA3D5B" w:rsidRDefault="00D237B5" w:rsidP="002F20F1">
            <w:pPr>
              <w:rPr>
                <w:rFonts w:ascii="Garamond" w:hAnsi="Garamond"/>
              </w:rPr>
            </w:pPr>
            <w:r w:rsidRPr="0028378E">
              <w:rPr>
                <w:rFonts w:ascii="Garamond" w:hAnsi="Garamond"/>
                <w:i/>
              </w:rPr>
              <w:t>Abstract:</w:t>
            </w:r>
            <w:r w:rsidRPr="0028378E">
              <w:rPr>
                <w:rFonts w:ascii="Garamond" w:hAnsi="Garamond"/>
              </w:rPr>
              <w:t xml:space="preserve"> </w:t>
            </w:r>
            <w:r w:rsidR="002F20F1" w:rsidRPr="002F20F1">
              <w:rPr>
                <w:rFonts w:ascii="Garamond" w:hAnsi="Garamond"/>
              </w:rPr>
              <w:t xml:space="preserve"> The contribution of this paper is to analyze the impact of differing methods of taxing intergenerational transfers, in the context of a dynamic general equilibrium overlapping </w:t>
            </w:r>
            <w:proofErr w:type="gramStart"/>
            <w:r w:rsidR="002F20F1" w:rsidRPr="002F20F1">
              <w:rPr>
                <w:rFonts w:ascii="Garamond" w:hAnsi="Garamond"/>
              </w:rPr>
              <w:t>generations</w:t>
            </w:r>
            <w:proofErr w:type="gramEnd"/>
            <w:r w:rsidR="002F20F1" w:rsidRPr="002F20F1">
              <w:rPr>
                <w:rFonts w:ascii="Garamond" w:hAnsi="Garamond"/>
              </w:rPr>
              <w:t xml:space="preserve"> model with differential fertility. This paper is the first to consider the impact of switching from an estate to inheritance tax in the presence of differential fertility, and the fallout such a switch would have upon inequality and welfare.</w:t>
            </w:r>
          </w:p>
          <w:p w14:paraId="12976BEC" w14:textId="77777777" w:rsidR="002F20F1" w:rsidRDefault="002F20F1" w:rsidP="002F20F1">
            <w:pPr>
              <w:rPr>
                <w:rFonts w:ascii="Garamond" w:hAnsi="Garamond"/>
              </w:rPr>
            </w:pPr>
          </w:p>
          <w:p w14:paraId="59DE4C27" w14:textId="60563558" w:rsidR="002F20F1" w:rsidRDefault="002F20F1" w:rsidP="002F20F1">
            <w:pPr>
              <w:rPr>
                <w:rFonts w:ascii="Garamond" w:hAnsi="Garamond"/>
                <w:sz w:val="24"/>
                <w:szCs w:val="24"/>
              </w:rPr>
            </w:pPr>
            <w:r w:rsidRPr="0082775D">
              <w:rPr>
                <w:rFonts w:ascii="Garamond" w:hAnsi="Garamond"/>
                <w:sz w:val="24"/>
                <w:szCs w:val="24"/>
              </w:rPr>
              <w:t>“</w:t>
            </w:r>
            <w:r w:rsidRPr="002F20F1">
              <w:rPr>
                <w:rFonts w:ascii="Garamond" w:hAnsi="Garamond"/>
                <w:sz w:val="24"/>
                <w:szCs w:val="24"/>
              </w:rPr>
              <w:t>Those Who Can: Teacher Quality and the Labor Market</w:t>
            </w:r>
            <w:r w:rsidRPr="0082775D">
              <w:rPr>
                <w:rFonts w:ascii="Garamond" w:hAnsi="Garamond"/>
                <w:sz w:val="24"/>
                <w:szCs w:val="24"/>
              </w:rPr>
              <w:t xml:space="preserve">” </w:t>
            </w:r>
          </w:p>
          <w:p w14:paraId="56140A5C" w14:textId="42E46A21" w:rsidR="002F20F1" w:rsidRDefault="002F20F1" w:rsidP="002F20F1">
            <w:pPr>
              <w:rPr>
                <w:rFonts w:ascii="Garamond" w:hAnsi="Garamond"/>
              </w:rPr>
            </w:pPr>
            <w:r w:rsidRPr="0028378E">
              <w:rPr>
                <w:rFonts w:ascii="Garamond" w:hAnsi="Garamond"/>
                <w:i/>
              </w:rPr>
              <w:t>Abstract:</w:t>
            </w:r>
            <w:r w:rsidRPr="0028378E">
              <w:rPr>
                <w:rFonts w:ascii="Garamond" w:hAnsi="Garamond"/>
              </w:rPr>
              <w:t xml:space="preserve"> </w:t>
            </w:r>
            <w:r w:rsidRPr="002F20F1">
              <w:rPr>
                <w:rFonts w:ascii="Garamond" w:hAnsi="Garamond"/>
              </w:rPr>
              <w:t xml:space="preserve"> The central question of this paper is what impact labor market conditions have on marginal entrance to the teaching profession, and what ramifications this has on ultimate instructor quality. This paper's hypothesis is that in times of economic distress and high private sector unemployment, like the recent recession, the expected quality of individuals who are hired for teaching jobs increases.</w:t>
            </w:r>
          </w:p>
          <w:p w14:paraId="248C53C4" w14:textId="77777777" w:rsidR="002F20F1" w:rsidRDefault="002F20F1" w:rsidP="002F20F1">
            <w:pPr>
              <w:rPr>
                <w:rFonts w:ascii="Garamond" w:hAnsi="Garamond"/>
              </w:rPr>
            </w:pPr>
          </w:p>
          <w:p w14:paraId="737AF841" w14:textId="739180A7" w:rsidR="002F20F1" w:rsidRDefault="002F20F1" w:rsidP="002F20F1">
            <w:pPr>
              <w:rPr>
                <w:rFonts w:ascii="Garamond" w:hAnsi="Garamond"/>
                <w:sz w:val="24"/>
                <w:szCs w:val="24"/>
              </w:rPr>
            </w:pPr>
            <w:r w:rsidRPr="0082775D">
              <w:rPr>
                <w:rFonts w:ascii="Garamond" w:hAnsi="Garamond"/>
                <w:sz w:val="24"/>
                <w:szCs w:val="24"/>
              </w:rPr>
              <w:t>“</w:t>
            </w:r>
            <w:r w:rsidRPr="002F20F1">
              <w:rPr>
                <w:rFonts w:ascii="Garamond" w:hAnsi="Garamond"/>
                <w:sz w:val="24"/>
                <w:szCs w:val="24"/>
              </w:rPr>
              <w:t>Killing for Profit: a model of intrastate conflict</w:t>
            </w:r>
            <w:r w:rsidRPr="0082775D">
              <w:rPr>
                <w:rFonts w:ascii="Garamond" w:hAnsi="Garamond"/>
                <w:sz w:val="24"/>
                <w:szCs w:val="24"/>
              </w:rPr>
              <w:t xml:space="preserve">” </w:t>
            </w:r>
          </w:p>
          <w:p w14:paraId="4F92D810" w14:textId="2EFFD021" w:rsidR="002F20F1" w:rsidRDefault="002F20F1" w:rsidP="002F20F1">
            <w:pPr>
              <w:rPr>
                <w:rFonts w:ascii="Garamond" w:hAnsi="Garamond"/>
              </w:rPr>
            </w:pPr>
            <w:r w:rsidRPr="0028378E">
              <w:rPr>
                <w:rFonts w:ascii="Garamond" w:hAnsi="Garamond"/>
                <w:i/>
              </w:rPr>
              <w:t>Abstract:</w:t>
            </w:r>
            <w:r w:rsidRPr="0028378E">
              <w:rPr>
                <w:rFonts w:ascii="Garamond" w:hAnsi="Garamond"/>
              </w:rPr>
              <w:t xml:space="preserve"> </w:t>
            </w:r>
            <w:r w:rsidRPr="002F20F1">
              <w:rPr>
                <w:rFonts w:ascii="Garamond" w:hAnsi="Garamond"/>
              </w:rPr>
              <w:t xml:space="preserve"> The main question this paper attempts to answer is: would rational actors engage in violent behavior, and if so, why? At the core of this approach to conflict is the understanding that violence happens or does not happen as a result of two opposing forces. First is the additional economic power that a conflict group can obtain through violence. Second is the asset destruction caused by intrastate </w:t>
            </w:r>
            <w:proofErr w:type="gramStart"/>
            <w:r w:rsidRPr="002F20F1">
              <w:rPr>
                <w:rFonts w:ascii="Garamond" w:hAnsi="Garamond"/>
              </w:rPr>
              <w:t>violence.</w:t>
            </w:r>
            <w:proofErr w:type="gramEnd"/>
          </w:p>
          <w:p w14:paraId="17D461D0" w14:textId="77777777" w:rsidR="002F20F1" w:rsidRDefault="002F20F1" w:rsidP="002F20F1">
            <w:pPr>
              <w:rPr>
                <w:rFonts w:ascii="Garamond" w:hAnsi="Garamond"/>
              </w:rPr>
            </w:pPr>
          </w:p>
          <w:p w14:paraId="49B92AE0" w14:textId="77777777" w:rsidR="002F20F1" w:rsidRDefault="002F20F1" w:rsidP="002F20F1">
            <w:pPr>
              <w:rPr>
                <w:rFonts w:ascii="Garamond" w:hAnsi="Garamond"/>
              </w:rPr>
            </w:pPr>
            <w:r>
              <w:rPr>
                <w:rFonts w:ascii="Garamond" w:hAnsi="Garamond"/>
              </w:rPr>
              <w:t>“</w:t>
            </w:r>
            <w:r w:rsidRPr="002F20F1">
              <w:rPr>
                <w:rFonts w:ascii="Garamond" w:hAnsi="Garamond"/>
              </w:rPr>
              <w:t>Not All Micro-Loans Were Created Equal: The Effect of Supply Chain Location on Micro-Lending</w:t>
            </w:r>
            <w:r>
              <w:rPr>
                <w:rFonts w:ascii="Garamond" w:hAnsi="Garamond"/>
              </w:rPr>
              <w:t>”</w:t>
            </w:r>
          </w:p>
          <w:p w14:paraId="347C4B59" w14:textId="1F635CE4" w:rsidR="002F20F1" w:rsidRPr="002F20F1" w:rsidRDefault="002F20F1" w:rsidP="002F20F1">
            <w:pPr>
              <w:rPr>
                <w:rFonts w:ascii="Garamond" w:hAnsi="Garamond"/>
              </w:rPr>
            </w:pPr>
            <w:r>
              <w:rPr>
                <w:rFonts w:ascii="Garamond" w:hAnsi="Garamond"/>
              </w:rPr>
              <w:t>(Published 2011 in The American Economist)</w:t>
            </w:r>
          </w:p>
          <w:p w14:paraId="36764D29" w14:textId="6AC8CD63" w:rsidR="002F20F1" w:rsidRPr="002F20F1" w:rsidRDefault="002F20F1" w:rsidP="002F20F1">
            <w:pPr>
              <w:rPr>
                <w:rFonts w:ascii="Garamond" w:hAnsi="Garamond"/>
              </w:rPr>
            </w:pPr>
            <w:r w:rsidRPr="0028378E">
              <w:rPr>
                <w:rFonts w:ascii="Garamond" w:hAnsi="Garamond"/>
                <w:i/>
              </w:rPr>
              <w:t>Abstract:</w:t>
            </w:r>
            <w:r w:rsidRPr="0028378E">
              <w:rPr>
                <w:rFonts w:ascii="Garamond" w:hAnsi="Garamond"/>
              </w:rPr>
              <w:t xml:space="preserve"> </w:t>
            </w:r>
            <w:r w:rsidRPr="002F20F1">
              <w:rPr>
                <w:rFonts w:ascii="Garamond" w:hAnsi="Garamond"/>
              </w:rPr>
              <w:t xml:space="preserve"> The positive effects of micro-loans on the impoverished has become veritable gospel to economic development professionals. Pioneered by Muhammed </w:t>
            </w:r>
            <w:proofErr w:type="spellStart"/>
            <w:r w:rsidRPr="002F20F1">
              <w:rPr>
                <w:rFonts w:ascii="Garamond" w:hAnsi="Garamond"/>
              </w:rPr>
              <w:t>Yunus</w:t>
            </w:r>
            <w:proofErr w:type="spellEnd"/>
            <w:r w:rsidRPr="002F20F1">
              <w:rPr>
                <w:rFonts w:ascii="Garamond" w:hAnsi="Garamond"/>
              </w:rPr>
              <w:t xml:space="preserve"> in the 1970s, the concept of making small loans to groups of poor entrepreneurs has become a mainstream tool of development and poverty reduction agents around the globe. However, little research has been done at this time into the microeconomic mechanics of small scale finance, especially the different outcomes of the loan depending on what sector of the economy the debtor is engaged in. A simulation designed to pursue further understanding of this subject, and conducted in partnership with Opportunity International, a micro-finance NGO, and the Westmont Investment Club, reveals whether different outcomes of a micro-loan were caused by a debtor's location in the production chain.</w:t>
            </w:r>
          </w:p>
          <w:p w14:paraId="2E622874" w14:textId="382E1F1F" w:rsidR="002F20F1" w:rsidRPr="00E74CD9" w:rsidRDefault="002F20F1" w:rsidP="002F20F1">
            <w:pPr>
              <w:rPr>
                <w:rFonts w:ascii="Garamond" w:hAnsi="Garamond"/>
                <w:sz w:val="24"/>
                <w:szCs w:val="24"/>
              </w:rPr>
            </w:pPr>
          </w:p>
        </w:tc>
      </w:tr>
      <w:tr w:rsidR="00B73884" w:rsidRPr="007C7611" w14:paraId="6531FE6B" w14:textId="77777777" w:rsidTr="00B73884">
        <w:tc>
          <w:tcPr>
            <w:tcW w:w="9468" w:type="dxa"/>
            <w:gridSpan w:val="3"/>
          </w:tcPr>
          <w:p w14:paraId="1C723A44" w14:textId="74DFF029" w:rsidR="00B73884" w:rsidRPr="007C7611" w:rsidRDefault="00B73884" w:rsidP="00B73884">
            <w:pPr>
              <w:rPr>
                <w:rFonts w:ascii="Garamond" w:hAnsi="Garamond"/>
                <w:sz w:val="24"/>
                <w:szCs w:val="24"/>
              </w:rPr>
            </w:pPr>
            <w:r w:rsidRPr="00BB46F9">
              <w:rPr>
                <w:rFonts w:ascii="Garamond" w:hAnsi="Garamond"/>
                <w:b/>
                <w:sz w:val="24"/>
                <w:szCs w:val="24"/>
              </w:rPr>
              <w:lastRenderedPageBreak/>
              <w:t>Research Papers</w:t>
            </w:r>
            <w:r>
              <w:rPr>
                <w:rFonts w:ascii="Garamond" w:hAnsi="Garamond"/>
                <w:b/>
                <w:sz w:val="24"/>
                <w:szCs w:val="24"/>
              </w:rPr>
              <w:t xml:space="preserve"> in Progress</w:t>
            </w:r>
            <w:r w:rsidRPr="007C7611">
              <w:rPr>
                <w:rFonts w:ascii="Garamond" w:hAnsi="Garamond"/>
                <w:sz w:val="24"/>
                <w:szCs w:val="24"/>
              </w:rPr>
              <w:t xml:space="preserve"> </w:t>
            </w:r>
          </w:p>
        </w:tc>
      </w:tr>
      <w:tr w:rsidR="00225D6B" w:rsidRPr="007C7611" w14:paraId="1430C761" w14:textId="77777777" w:rsidTr="002F20F1">
        <w:trPr>
          <w:trHeight w:val="3147"/>
        </w:trPr>
        <w:tc>
          <w:tcPr>
            <w:tcW w:w="9468" w:type="dxa"/>
            <w:gridSpan w:val="3"/>
          </w:tcPr>
          <w:p w14:paraId="4169D583" w14:textId="3D1EC9F4" w:rsidR="00545A7E" w:rsidRPr="007C7611" w:rsidRDefault="0012623C" w:rsidP="002F20F1">
            <w:pPr>
              <w:rPr>
                <w:rFonts w:ascii="Garamond" w:hAnsi="Garamond"/>
                <w:sz w:val="24"/>
                <w:szCs w:val="24"/>
              </w:rPr>
            </w:pPr>
            <w:r>
              <w:rPr>
                <w:rFonts w:ascii="Garamond" w:hAnsi="Garamond"/>
                <w:sz w:val="24"/>
                <w:szCs w:val="24"/>
              </w:rPr>
              <w:t>“</w:t>
            </w:r>
            <w:r w:rsidR="002F20F1">
              <w:rPr>
                <w:rFonts w:ascii="Garamond" w:hAnsi="Garamond"/>
                <w:sz w:val="24"/>
                <w:szCs w:val="24"/>
              </w:rPr>
              <w:t>Bearing with Equanimity: a empirical analysis of expected bequests and saving using the Social Security ‘notch’</w:t>
            </w:r>
            <w:r>
              <w:rPr>
                <w:rFonts w:ascii="Garamond" w:hAnsi="Garamond"/>
                <w:sz w:val="24"/>
                <w:szCs w:val="24"/>
              </w:rPr>
              <w:t xml:space="preserve">” </w:t>
            </w:r>
          </w:p>
        </w:tc>
      </w:tr>
    </w:tbl>
    <w:p w14:paraId="115BEB1D" w14:textId="37FFAD8F" w:rsidR="00EA3D5B" w:rsidRPr="007C7611" w:rsidRDefault="00B73884">
      <w:pPr>
        <w:rPr>
          <w:rFonts w:ascii="Garamond" w:hAnsi="Garamond"/>
          <w:b/>
          <w:sz w:val="24"/>
          <w:szCs w:val="24"/>
        </w:rPr>
      </w:pPr>
      <w:r>
        <w:rPr>
          <w:rFonts w:ascii="Garamond" w:hAnsi="Garamond"/>
          <w:b/>
          <w:sz w:val="24"/>
          <w:szCs w:val="24"/>
        </w:rPr>
        <w:br w:type="textWrapping" w:clear="all"/>
      </w:r>
    </w:p>
    <w:sectPr w:rsidR="00EA3D5B" w:rsidRPr="007C7611" w:rsidSect="00B14902">
      <w:pgSz w:w="12240" w:h="15840"/>
      <w:pgMar w:top="1296" w:right="1296" w:bottom="1296"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DAE"/>
    <w:rsid w:val="000076E0"/>
    <w:rsid w:val="00024AE9"/>
    <w:rsid w:val="00027352"/>
    <w:rsid w:val="0006611E"/>
    <w:rsid w:val="000A6D1A"/>
    <w:rsid w:val="000A7B31"/>
    <w:rsid w:val="000D5AA8"/>
    <w:rsid w:val="000F4F88"/>
    <w:rsid w:val="00104317"/>
    <w:rsid w:val="00124DBA"/>
    <w:rsid w:val="0012623C"/>
    <w:rsid w:val="001277B4"/>
    <w:rsid w:val="0013605D"/>
    <w:rsid w:val="001568A0"/>
    <w:rsid w:val="0020052F"/>
    <w:rsid w:val="00225D6B"/>
    <w:rsid w:val="00226567"/>
    <w:rsid w:val="00255651"/>
    <w:rsid w:val="002575D5"/>
    <w:rsid w:val="00263A87"/>
    <w:rsid w:val="0026690C"/>
    <w:rsid w:val="0028378E"/>
    <w:rsid w:val="00286962"/>
    <w:rsid w:val="002A5E61"/>
    <w:rsid w:val="002F1EF0"/>
    <w:rsid w:val="002F20F1"/>
    <w:rsid w:val="00310B23"/>
    <w:rsid w:val="00350D0E"/>
    <w:rsid w:val="003600F9"/>
    <w:rsid w:val="00370412"/>
    <w:rsid w:val="0038723F"/>
    <w:rsid w:val="003A4C4F"/>
    <w:rsid w:val="003B2989"/>
    <w:rsid w:val="003B4319"/>
    <w:rsid w:val="0045464F"/>
    <w:rsid w:val="004555D5"/>
    <w:rsid w:val="00477168"/>
    <w:rsid w:val="0049542A"/>
    <w:rsid w:val="004C0683"/>
    <w:rsid w:val="004C6C30"/>
    <w:rsid w:val="00541F29"/>
    <w:rsid w:val="00545A7E"/>
    <w:rsid w:val="00560FC5"/>
    <w:rsid w:val="00562560"/>
    <w:rsid w:val="00587CBD"/>
    <w:rsid w:val="005A57D1"/>
    <w:rsid w:val="005D4496"/>
    <w:rsid w:val="005F7AFF"/>
    <w:rsid w:val="0065342E"/>
    <w:rsid w:val="006656F4"/>
    <w:rsid w:val="006A4703"/>
    <w:rsid w:val="006A477B"/>
    <w:rsid w:val="006D595B"/>
    <w:rsid w:val="00704381"/>
    <w:rsid w:val="00730C5E"/>
    <w:rsid w:val="007456E4"/>
    <w:rsid w:val="00776BCE"/>
    <w:rsid w:val="00783100"/>
    <w:rsid w:val="00787E14"/>
    <w:rsid w:val="007A2FB6"/>
    <w:rsid w:val="007A5474"/>
    <w:rsid w:val="007B6DAE"/>
    <w:rsid w:val="007C2F42"/>
    <w:rsid w:val="007C7611"/>
    <w:rsid w:val="007E32D1"/>
    <w:rsid w:val="008175D2"/>
    <w:rsid w:val="0082775D"/>
    <w:rsid w:val="008300EA"/>
    <w:rsid w:val="00865EF6"/>
    <w:rsid w:val="00897800"/>
    <w:rsid w:val="008A1F05"/>
    <w:rsid w:val="008A531A"/>
    <w:rsid w:val="008C13CD"/>
    <w:rsid w:val="008E6B93"/>
    <w:rsid w:val="00900745"/>
    <w:rsid w:val="00927EF8"/>
    <w:rsid w:val="00936A28"/>
    <w:rsid w:val="0094471C"/>
    <w:rsid w:val="00950F38"/>
    <w:rsid w:val="00957AC7"/>
    <w:rsid w:val="009665F0"/>
    <w:rsid w:val="009B314B"/>
    <w:rsid w:val="009C21A0"/>
    <w:rsid w:val="009E23EA"/>
    <w:rsid w:val="009E2FBE"/>
    <w:rsid w:val="009F1555"/>
    <w:rsid w:val="00A3254A"/>
    <w:rsid w:val="00A51B64"/>
    <w:rsid w:val="00A51C56"/>
    <w:rsid w:val="00A6302B"/>
    <w:rsid w:val="00A73181"/>
    <w:rsid w:val="00A740C6"/>
    <w:rsid w:val="00A75271"/>
    <w:rsid w:val="00A8160B"/>
    <w:rsid w:val="00AB6323"/>
    <w:rsid w:val="00AD23BE"/>
    <w:rsid w:val="00AD49D7"/>
    <w:rsid w:val="00AF1DA4"/>
    <w:rsid w:val="00AF233B"/>
    <w:rsid w:val="00AF42EF"/>
    <w:rsid w:val="00B14902"/>
    <w:rsid w:val="00B374C6"/>
    <w:rsid w:val="00B65D48"/>
    <w:rsid w:val="00B73884"/>
    <w:rsid w:val="00B833EE"/>
    <w:rsid w:val="00B934FB"/>
    <w:rsid w:val="00BB46F9"/>
    <w:rsid w:val="00BC5E5E"/>
    <w:rsid w:val="00BD02B8"/>
    <w:rsid w:val="00C14046"/>
    <w:rsid w:val="00C37E69"/>
    <w:rsid w:val="00C54FE3"/>
    <w:rsid w:val="00C65D4B"/>
    <w:rsid w:val="00C7282B"/>
    <w:rsid w:val="00C756E4"/>
    <w:rsid w:val="00CA3A31"/>
    <w:rsid w:val="00CC322D"/>
    <w:rsid w:val="00CC5F16"/>
    <w:rsid w:val="00CD19EC"/>
    <w:rsid w:val="00CE3AE1"/>
    <w:rsid w:val="00CF109D"/>
    <w:rsid w:val="00CF3664"/>
    <w:rsid w:val="00D237B5"/>
    <w:rsid w:val="00D575EC"/>
    <w:rsid w:val="00D657F9"/>
    <w:rsid w:val="00D964E1"/>
    <w:rsid w:val="00DA0763"/>
    <w:rsid w:val="00DF3E6A"/>
    <w:rsid w:val="00E4525A"/>
    <w:rsid w:val="00E54730"/>
    <w:rsid w:val="00E713D8"/>
    <w:rsid w:val="00E74CD9"/>
    <w:rsid w:val="00E82D75"/>
    <w:rsid w:val="00E9781B"/>
    <w:rsid w:val="00EA3D5B"/>
    <w:rsid w:val="00EB723F"/>
    <w:rsid w:val="00EF191D"/>
    <w:rsid w:val="00F06C30"/>
    <w:rsid w:val="00F11757"/>
    <w:rsid w:val="00F1238F"/>
    <w:rsid w:val="00F23EA1"/>
    <w:rsid w:val="00F30B52"/>
    <w:rsid w:val="00F35AD8"/>
    <w:rsid w:val="00F37367"/>
    <w:rsid w:val="00F40A82"/>
    <w:rsid w:val="00F43C62"/>
    <w:rsid w:val="00F6400C"/>
    <w:rsid w:val="00F81A17"/>
    <w:rsid w:val="00F84B57"/>
    <w:rsid w:val="00FB7749"/>
    <w:rsid w:val="00FC28DA"/>
    <w:rsid w:val="00FE35C9"/>
    <w:rsid w:val="00FF3C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E405CC"/>
  <w15:docId w15:val="{EB4DA27E-3351-4E80-94FA-5D97616CA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character" w:styleId="Hyperlink">
    <w:name w:val="Hyperlink"/>
    <w:basedOn w:val="DefaultParagraphFont"/>
    <w:rsid w:val="00A6302B"/>
    <w:rPr>
      <w:color w:val="0000FF" w:themeColor="hyperlink"/>
      <w:u w:val="single"/>
    </w:rPr>
  </w:style>
  <w:style w:type="character" w:styleId="FollowedHyperlink">
    <w:name w:val="FollowedHyperlink"/>
    <w:basedOn w:val="DefaultParagraphFont"/>
    <w:rsid w:val="00865EF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797636">
      <w:bodyDiv w:val="1"/>
      <w:marLeft w:val="0"/>
      <w:marRight w:val="0"/>
      <w:marTop w:val="0"/>
      <w:marBottom w:val="0"/>
      <w:divBdr>
        <w:top w:val="none" w:sz="0" w:space="0" w:color="auto"/>
        <w:left w:val="none" w:sz="0" w:space="0" w:color="auto"/>
        <w:bottom w:val="none" w:sz="0" w:space="0" w:color="auto"/>
        <w:right w:val="none" w:sz="0" w:space="0" w:color="auto"/>
      </w:divBdr>
    </w:div>
    <w:div w:id="273754140">
      <w:bodyDiv w:val="1"/>
      <w:marLeft w:val="0"/>
      <w:marRight w:val="0"/>
      <w:marTop w:val="0"/>
      <w:marBottom w:val="0"/>
      <w:divBdr>
        <w:top w:val="none" w:sz="0" w:space="0" w:color="auto"/>
        <w:left w:val="none" w:sz="0" w:space="0" w:color="auto"/>
        <w:bottom w:val="none" w:sz="0" w:space="0" w:color="auto"/>
        <w:right w:val="none" w:sz="0" w:space="0" w:color="auto"/>
      </w:divBdr>
    </w:div>
    <w:div w:id="276328012">
      <w:bodyDiv w:val="1"/>
      <w:marLeft w:val="0"/>
      <w:marRight w:val="0"/>
      <w:marTop w:val="0"/>
      <w:marBottom w:val="0"/>
      <w:divBdr>
        <w:top w:val="none" w:sz="0" w:space="0" w:color="auto"/>
        <w:left w:val="none" w:sz="0" w:space="0" w:color="auto"/>
        <w:bottom w:val="none" w:sz="0" w:space="0" w:color="auto"/>
        <w:right w:val="none" w:sz="0" w:space="0" w:color="auto"/>
      </w:divBdr>
    </w:div>
    <w:div w:id="556283824">
      <w:bodyDiv w:val="1"/>
      <w:marLeft w:val="0"/>
      <w:marRight w:val="0"/>
      <w:marTop w:val="0"/>
      <w:marBottom w:val="0"/>
      <w:divBdr>
        <w:top w:val="none" w:sz="0" w:space="0" w:color="auto"/>
        <w:left w:val="none" w:sz="0" w:space="0" w:color="auto"/>
        <w:bottom w:val="none" w:sz="0" w:space="0" w:color="auto"/>
        <w:right w:val="none" w:sz="0" w:space="0" w:color="auto"/>
      </w:divBdr>
    </w:div>
    <w:div w:id="608044376">
      <w:bodyDiv w:val="1"/>
      <w:marLeft w:val="0"/>
      <w:marRight w:val="0"/>
      <w:marTop w:val="0"/>
      <w:marBottom w:val="0"/>
      <w:divBdr>
        <w:top w:val="none" w:sz="0" w:space="0" w:color="auto"/>
        <w:left w:val="none" w:sz="0" w:space="0" w:color="auto"/>
        <w:bottom w:val="none" w:sz="0" w:space="0" w:color="auto"/>
        <w:right w:val="none" w:sz="0" w:space="0" w:color="auto"/>
      </w:divBdr>
      <w:divsChild>
        <w:div w:id="495460425">
          <w:marLeft w:val="480"/>
          <w:marRight w:val="480"/>
          <w:marTop w:val="480"/>
          <w:marBottom w:val="480"/>
          <w:divBdr>
            <w:top w:val="none" w:sz="0" w:space="0" w:color="auto"/>
            <w:left w:val="none" w:sz="0" w:space="0" w:color="auto"/>
            <w:bottom w:val="none" w:sz="0" w:space="0" w:color="auto"/>
            <w:right w:val="none" w:sz="0" w:space="0" w:color="auto"/>
          </w:divBdr>
          <w:divsChild>
            <w:div w:id="105142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763067">
      <w:bodyDiv w:val="1"/>
      <w:marLeft w:val="0"/>
      <w:marRight w:val="0"/>
      <w:marTop w:val="0"/>
      <w:marBottom w:val="0"/>
      <w:divBdr>
        <w:top w:val="none" w:sz="0" w:space="0" w:color="auto"/>
        <w:left w:val="none" w:sz="0" w:space="0" w:color="auto"/>
        <w:bottom w:val="none" w:sz="0" w:space="0" w:color="auto"/>
        <w:right w:val="none" w:sz="0" w:space="0" w:color="auto"/>
      </w:divBdr>
      <w:divsChild>
        <w:div w:id="2102219679">
          <w:marLeft w:val="0"/>
          <w:marRight w:val="0"/>
          <w:marTop w:val="0"/>
          <w:marBottom w:val="0"/>
          <w:divBdr>
            <w:top w:val="none" w:sz="0" w:space="0" w:color="auto"/>
            <w:left w:val="none" w:sz="0" w:space="0" w:color="auto"/>
            <w:bottom w:val="none" w:sz="0" w:space="0" w:color="auto"/>
            <w:right w:val="none" w:sz="0" w:space="0" w:color="auto"/>
          </w:divBdr>
        </w:div>
      </w:divsChild>
    </w:div>
    <w:div w:id="861210593">
      <w:bodyDiv w:val="1"/>
      <w:marLeft w:val="0"/>
      <w:marRight w:val="0"/>
      <w:marTop w:val="0"/>
      <w:marBottom w:val="0"/>
      <w:divBdr>
        <w:top w:val="none" w:sz="0" w:space="0" w:color="auto"/>
        <w:left w:val="none" w:sz="0" w:space="0" w:color="auto"/>
        <w:bottom w:val="none" w:sz="0" w:space="0" w:color="auto"/>
        <w:right w:val="none" w:sz="0" w:space="0" w:color="auto"/>
      </w:divBdr>
    </w:div>
    <w:div w:id="1031607921">
      <w:bodyDiv w:val="1"/>
      <w:marLeft w:val="0"/>
      <w:marRight w:val="0"/>
      <w:marTop w:val="0"/>
      <w:marBottom w:val="0"/>
      <w:divBdr>
        <w:top w:val="none" w:sz="0" w:space="0" w:color="auto"/>
        <w:left w:val="none" w:sz="0" w:space="0" w:color="auto"/>
        <w:bottom w:val="none" w:sz="0" w:space="0" w:color="auto"/>
        <w:right w:val="none" w:sz="0" w:space="0" w:color="auto"/>
      </w:divBdr>
      <w:divsChild>
        <w:div w:id="1832023927">
          <w:marLeft w:val="480"/>
          <w:marRight w:val="480"/>
          <w:marTop w:val="480"/>
          <w:marBottom w:val="480"/>
          <w:divBdr>
            <w:top w:val="none" w:sz="0" w:space="0" w:color="auto"/>
            <w:left w:val="none" w:sz="0" w:space="0" w:color="auto"/>
            <w:bottom w:val="none" w:sz="0" w:space="0" w:color="auto"/>
            <w:right w:val="none" w:sz="0" w:space="0" w:color="auto"/>
          </w:divBdr>
          <w:divsChild>
            <w:div w:id="11475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76080">
      <w:bodyDiv w:val="1"/>
      <w:marLeft w:val="0"/>
      <w:marRight w:val="0"/>
      <w:marTop w:val="0"/>
      <w:marBottom w:val="0"/>
      <w:divBdr>
        <w:top w:val="none" w:sz="0" w:space="0" w:color="auto"/>
        <w:left w:val="none" w:sz="0" w:space="0" w:color="auto"/>
        <w:bottom w:val="none" w:sz="0" w:space="0" w:color="auto"/>
        <w:right w:val="none" w:sz="0" w:space="0" w:color="auto"/>
      </w:divBdr>
    </w:div>
    <w:div w:id="1856724120">
      <w:bodyDiv w:val="1"/>
      <w:marLeft w:val="0"/>
      <w:marRight w:val="0"/>
      <w:marTop w:val="0"/>
      <w:marBottom w:val="0"/>
      <w:divBdr>
        <w:top w:val="none" w:sz="0" w:space="0" w:color="auto"/>
        <w:left w:val="none" w:sz="0" w:space="0" w:color="auto"/>
        <w:bottom w:val="none" w:sz="0" w:space="0" w:color="auto"/>
        <w:right w:val="none" w:sz="0" w:space="0" w:color="auto"/>
      </w:divBdr>
      <w:divsChild>
        <w:div w:id="863590956">
          <w:marLeft w:val="480"/>
          <w:marRight w:val="480"/>
          <w:marTop w:val="480"/>
          <w:marBottom w:val="480"/>
          <w:divBdr>
            <w:top w:val="none" w:sz="0" w:space="0" w:color="auto"/>
            <w:left w:val="none" w:sz="0" w:space="0" w:color="auto"/>
            <w:bottom w:val="none" w:sz="0" w:space="0" w:color="auto"/>
            <w:right w:val="none" w:sz="0" w:space="0" w:color="auto"/>
          </w:divBdr>
          <w:divsChild>
            <w:div w:id="15398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059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ancis.ahking@uconn.edu" TargetMode="External"/><Relationship Id="rId3" Type="http://schemas.openxmlformats.org/officeDocument/2006/relationships/settings" Target="settings.xml"/><Relationship Id="rId7" Type="http://schemas.openxmlformats.org/officeDocument/2006/relationships/hyperlink" Target="mailto:hyun.lee2@uconn.ed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kai.zhao@uconn.edu" TargetMode="External"/><Relationship Id="rId5" Type="http://schemas.openxmlformats.org/officeDocument/2006/relationships/hyperlink" Target="mailto:hyunlee@uchicago.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0A3EA1-2B94-4373-9042-EC32C2316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FIRST NAME LAST NAME</vt:lpstr>
    </vt:vector>
  </TitlesOfParts>
  <Company>Harvard University</Company>
  <LinksUpToDate>false</LinksUpToDate>
  <CharactersWithSpaces>5565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NAME LAST NAME</dc:title>
  <dc:creator>pcguest</dc:creator>
  <cp:lastModifiedBy>Aaron</cp:lastModifiedBy>
  <cp:revision>6</cp:revision>
  <cp:lastPrinted>2015-10-19T15:21:00Z</cp:lastPrinted>
  <dcterms:created xsi:type="dcterms:W3CDTF">2017-08-29T21:19:00Z</dcterms:created>
  <dcterms:modified xsi:type="dcterms:W3CDTF">2017-10-30T19:05:00Z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2016474821</vt:i4>
  </property>
</Properties>
</file>