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9750F" w:rsidRDefault="00000000">
      <w:pPr>
        <w:rPr>
          <w:b/>
          <w:sz w:val="30"/>
          <w:szCs w:val="30"/>
        </w:rPr>
      </w:pPr>
      <w:r>
        <w:rPr>
          <w:b/>
          <w:sz w:val="30"/>
          <w:szCs w:val="30"/>
        </w:rPr>
        <w:t>Introduzione al Cyber-risk</w:t>
      </w:r>
    </w:p>
    <w:p w:rsidR="00D9750F" w:rsidRDefault="00000000">
      <w:pPr>
        <w:rPr>
          <w:color w:val="000000"/>
        </w:rPr>
      </w:pPr>
      <w:r>
        <w:rPr>
          <w:i/>
          <w:color w:val="000000"/>
        </w:rPr>
        <w:t>Tempo stimato</w:t>
      </w:r>
      <w:r>
        <w:rPr>
          <w:color w:val="000000"/>
        </w:rPr>
        <w:t xml:space="preserve">: 10’ </w:t>
      </w:r>
    </w:p>
    <w:p w:rsidR="00D9750F" w:rsidRDefault="00D9750F"/>
    <w:p w:rsidR="00D9750F" w:rsidRDefault="00000000">
      <w:pPr>
        <w:rPr>
          <w:i/>
        </w:rPr>
      </w:pPr>
      <w:r>
        <w:rPr>
          <w:i/>
        </w:rPr>
        <w:t>Obiettivi di apprendimento</w:t>
      </w:r>
    </w:p>
    <w:p w:rsidR="00D9750F" w:rsidRDefault="00000000">
      <w:r>
        <w:t>Alla fine di questa sezione sarai in grado di</w:t>
      </w:r>
    </w:p>
    <w:p w:rsidR="00D9750F" w:rsidRDefault="00000000">
      <w:pPr>
        <w:numPr>
          <w:ilvl w:val="0"/>
          <w:numId w:val="1"/>
        </w:numPr>
        <w:pBdr>
          <w:top w:val="nil"/>
          <w:left w:val="nil"/>
          <w:bottom w:val="nil"/>
          <w:right w:val="nil"/>
          <w:between w:val="nil"/>
        </w:pBdr>
      </w:pPr>
      <w:r>
        <w:rPr>
          <w:color w:val="000000"/>
        </w:rPr>
        <w:t xml:space="preserve">Conoscere cos’è </w:t>
      </w:r>
      <w:r>
        <w:t>il Cyber-risk</w:t>
      </w:r>
    </w:p>
    <w:p w:rsidR="00D9750F" w:rsidRDefault="00000000">
      <w:pPr>
        <w:numPr>
          <w:ilvl w:val="0"/>
          <w:numId w:val="1"/>
        </w:numPr>
        <w:pBdr>
          <w:top w:val="nil"/>
          <w:left w:val="nil"/>
          <w:bottom w:val="nil"/>
          <w:right w:val="nil"/>
          <w:between w:val="nil"/>
        </w:pBdr>
      </w:pPr>
      <w:r>
        <w:rPr>
          <w:color w:val="000000"/>
        </w:rPr>
        <w:t xml:space="preserve">Comprendere i fattori </w:t>
      </w:r>
      <w:r>
        <w:t>contribuiscono al Cyber-risk</w:t>
      </w:r>
    </w:p>
    <w:p w:rsidR="00D9750F" w:rsidRDefault="00000000">
      <w:pPr>
        <w:numPr>
          <w:ilvl w:val="0"/>
          <w:numId w:val="1"/>
        </w:numPr>
      </w:pPr>
      <w:r>
        <w:t xml:space="preserve">Distinguere i concetti di minaccia, vulnerabilità, </w:t>
      </w:r>
      <w:r>
        <w:rPr>
          <w:i/>
        </w:rPr>
        <w:t>exploit</w:t>
      </w:r>
      <w:r>
        <w:t xml:space="preserve"> e attacco cyber</w:t>
      </w:r>
    </w:p>
    <w:p w:rsidR="00D9750F" w:rsidRDefault="00D9750F">
      <w:pPr>
        <w:pBdr>
          <w:top w:val="nil"/>
          <w:left w:val="nil"/>
          <w:bottom w:val="nil"/>
          <w:right w:val="nil"/>
          <w:between w:val="nil"/>
        </w:pBdr>
      </w:pPr>
    </w:p>
    <w:p w:rsidR="00D9750F" w:rsidRDefault="00000000">
      <w:pPr>
        <w:pBdr>
          <w:top w:val="nil"/>
          <w:left w:val="nil"/>
          <w:bottom w:val="nil"/>
          <w:right w:val="nil"/>
          <w:between w:val="nil"/>
        </w:pBdr>
        <w:spacing w:after="200"/>
      </w:pPr>
      <w:r>
        <w:t xml:space="preserve">Il termine </w:t>
      </w:r>
      <w:r>
        <w:rPr>
          <w:b/>
          <w:i/>
        </w:rPr>
        <w:t>cyber-risk</w:t>
      </w:r>
      <w:r>
        <w:t xml:space="preserve"> si riferisce alla possibilità di </w:t>
      </w:r>
      <w:r>
        <w:rPr>
          <w:b/>
        </w:rPr>
        <w:t>danno</w:t>
      </w:r>
      <w:r>
        <w:t xml:space="preserve"> (perdita finanziaria, interruzione di servizio o danno reputazionale) subito da un’organizzazione a seguito di un malfunzionamento dei suoi sistemi informatici causato da un agente ostile.  </w:t>
      </w:r>
      <w:r>
        <w:rPr>
          <w:noProof/>
        </w:rPr>
        <mc:AlternateContent>
          <mc:Choice Requires="wpg">
            <w:drawing>
              <wp:anchor distT="114300" distB="114300" distL="114300" distR="114300" simplePos="0" relativeHeight="251658240" behindDoc="0" locked="0" layoutInCell="1" hidden="0" allowOverlap="1">
                <wp:simplePos x="0" y="0"/>
                <wp:positionH relativeFrom="column">
                  <wp:posOffset>2603500</wp:posOffset>
                </wp:positionH>
                <wp:positionV relativeFrom="paragraph">
                  <wp:posOffset>546100</wp:posOffset>
                </wp:positionV>
                <wp:extent cx="3555064" cy="3699677"/>
                <wp:effectExtent l="0" t="0" r="0" b="0"/>
                <wp:wrapSquare wrapText="bothSides" distT="114300" distB="114300" distL="114300" distR="114300"/>
                <wp:docPr id="3" name="Gruppo 3"/>
                <wp:cNvGraphicFramePr/>
                <a:graphic xmlns:a="http://schemas.openxmlformats.org/drawingml/2006/main">
                  <a:graphicData uri="http://schemas.microsoft.com/office/word/2010/wordprocessingGroup">
                    <wpg:wgp>
                      <wpg:cNvGrpSpPr/>
                      <wpg:grpSpPr>
                        <a:xfrm>
                          <a:off x="0" y="0"/>
                          <a:ext cx="3555064" cy="3699677"/>
                          <a:chOff x="3568468" y="1930162"/>
                          <a:chExt cx="3555064" cy="3699677"/>
                        </a:xfrm>
                      </wpg:grpSpPr>
                      <wpg:grpSp>
                        <wpg:cNvPr id="156047961" name="Gruppo 156047961"/>
                        <wpg:cNvGrpSpPr/>
                        <wpg:grpSpPr>
                          <a:xfrm>
                            <a:off x="3568468" y="1930162"/>
                            <a:ext cx="3555064" cy="3699677"/>
                            <a:chOff x="118675" y="152400"/>
                            <a:chExt cx="5603100" cy="5345025"/>
                          </a:xfrm>
                        </wpg:grpSpPr>
                        <wps:wsp>
                          <wps:cNvPr id="1440569058" name="Rettangolo 1440569058"/>
                          <wps:cNvSpPr/>
                          <wps:spPr>
                            <a:xfrm>
                              <a:off x="118675" y="152400"/>
                              <a:ext cx="5603100" cy="5345025"/>
                            </a:xfrm>
                            <a:prstGeom prst="rect">
                              <a:avLst/>
                            </a:prstGeom>
                            <a:noFill/>
                            <a:ln>
                              <a:noFill/>
                            </a:ln>
                          </wps:spPr>
                          <wps:txbx>
                            <w:txbxContent>
                              <w:p w14:paraId="252E6B49" w14:textId="77777777" w:rsidR="00D9750F" w:rsidRDefault="00D9750F">
                                <w:pPr>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pic:cNvPicPr preferRelativeResize="0"/>
                          </pic:nvPicPr>
                          <pic:blipFill rotWithShape="1">
                            <a:blip r:embed="rId8">
                              <a:alphaModFix/>
                            </a:blip>
                            <a:srcRect/>
                            <a:stretch/>
                          </pic:blipFill>
                          <pic:spPr>
                            <a:xfrm>
                              <a:off x="152400" y="152400"/>
                              <a:ext cx="5473751" cy="4637474"/>
                            </a:xfrm>
                            <a:prstGeom prst="rect">
                              <a:avLst/>
                            </a:prstGeom>
                            <a:noFill/>
                            <a:ln>
                              <a:noFill/>
                            </a:ln>
                          </pic:spPr>
                        </pic:pic>
                        <wps:wsp>
                          <wps:cNvPr id="965951886" name="Rettangolo 965951886"/>
                          <wps:cNvSpPr/>
                          <wps:spPr>
                            <a:xfrm>
                              <a:off x="118675" y="4843725"/>
                              <a:ext cx="5603100" cy="653700"/>
                            </a:xfrm>
                            <a:prstGeom prst="rect">
                              <a:avLst/>
                            </a:prstGeom>
                            <a:noFill/>
                            <a:ln>
                              <a:noFill/>
                            </a:ln>
                          </wps:spPr>
                          <wps:txbx>
                            <w:txbxContent>
                              <w:p w14:paraId="42DEE61E" w14:textId="77777777" w:rsidR="00D9750F" w:rsidRDefault="00000000">
                                <w:pPr>
                                  <w:textDirection w:val="btLr"/>
                                </w:pPr>
                                <w:r>
                                  <w:rPr>
                                    <w:rFonts w:ascii="Arial" w:eastAsia="Arial" w:hAnsi="Arial" w:cs="Arial"/>
                                    <w:color w:val="000000"/>
                                    <w:sz w:val="28"/>
                                  </w:rPr>
                                  <w:t xml:space="preserve">Figura 1. I risk aziendali più importanti per il 2020 secondo Allianz - Allianz Risk </w:t>
                                </w:r>
                                <w:proofErr w:type="spellStart"/>
                                <w:r>
                                  <w:rPr>
                                    <w:rFonts w:ascii="Arial" w:eastAsia="Arial" w:hAnsi="Arial" w:cs="Arial"/>
                                    <w:color w:val="000000"/>
                                    <w:sz w:val="28"/>
                                  </w:rPr>
                                  <w:t>Barometer</w:t>
                                </w:r>
                                <w:proofErr w:type="spellEnd"/>
                                <w:r>
                                  <w:rPr>
                                    <w:rFonts w:ascii="Arial" w:eastAsia="Arial" w:hAnsi="Arial" w:cs="Arial"/>
                                    <w:color w:val="000000"/>
                                    <w:sz w:val="28"/>
                                  </w:rPr>
                                  <w:t xml:space="preserve"> 2020</w:t>
                                </w:r>
                              </w:p>
                              <w:p w14:paraId="7C2ED640" w14:textId="77777777" w:rsidR="00D9750F" w:rsidRDefault="00000000">
                                <w:pPr>
                                  <w:textDirection w:val="btLr"/>
                                </w:pPr>
                                <w:r>
                                  <w:rPr>
                                    <w:rFonts w:ascii="Arial" w:eastAsia="Arial" w:hAnsi="Arial" w:cs="Arial"/>
                                    <w:color w:val="000000"/>
                                    <w:sz w:val="28"/>
                                  </w:rPr>
                                  <w:t>Sorgente: https://www.agcs.allianz.com/news-and-insights/reports/allianz-risk-barometer.html</w:t>
                                </w:r>
                              </w:p>
                            </w:txbxContent>
                          </wps:txbx>
                          <wps:bodyPr spcFirstLastPara="1" wrap="square" lIns="91425" tIns="91425" rIns="91425" bIns="91425" anchor="t"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2603500</wp:posOffset>
                </wp:positionH>
                <wp:positionV relativeFrom="paragraph">
                  <wp:posOffset>546100</wp:posOffset>
                </wp:positionV>
                <wp:extent cx="3555064" cy="3699677"/>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3555064" cy="3699677"/>
                        </a:xfrm>
                        <a:prstGeom prst="rect"/>
                        <a:ln/>
                      </pic:spPr>
                    </pic:pic>
                  </a:graphicData>
                </a:graphic>
              </wp:anchor>
            </w:drawing>
          </mc:Fallback>
        </mc:AlternateContent>
      </w:r>
    </w:p>
    <w:p w:rsidR="00D9750F" w:rsidRDefault="00000000">
      <w:pPr>
        <w:spacing w:before="240" w:after="240"/>
      </w:pPr>
      <w:r>
        <w:t xml:space="preserve">La consapevolezza del cyber-risk è cresciuta rapidamente negli ultimi anni a causa sia dell’aumentata dipendenza dai servizi digitali da parte delle aziende che dal crescente numero di incidenti cyber di alto profilo. Il cyber-risk è indicato per la prima volta (con il 39% delle risposte) come il primo fattore di rischio per le aziende a livello globale nel </w:t>
      </w:r>
      <w:r>
        <w:rPr>
          <w:i/>
        </w:rPr>
        <w:t xml:space="preserve">Allianz Risk </w:t>
      </w:r>
      <w:proofErr w:type="spellStart"/>
      <w:r>
        <w:rPr>
          <w:i/>
        </w:rPr>
        <w:t>Barometer</w:t>
      </w:r>
      <w:proofErr w:type="spellEnd"/>
      <w:r>
        <w:t xml:space="preserve"> nel 2020, relegando l’Interruzione del Business (con il 37% delle risposte) al secondo posto. </w:t>
      </w:r>
    </w:p>
    <w:p w:rsidR="00D9750F" w:rsidRDefault="00000000">
      <w:pPr>
        <w:pBdr>
          <w:top w:val="nil"/>
          <w:left w:val="nil"/>
          <w:bottom w:val="nil"/>
          <w:right w:val="nil"/>
          <w:between w:val="nil"/>
        </w:pBdr>
        <w:spacing w:after="200"/>
      </w:pPr>
      <w:r>
        <w:t xml:space="preserve">Comprendere e valutare i fattori che contribuiscono al cyber-risk è il presupposto indispensabile alla pianificazione di azioni tese a mitigarlo.  Tali fattori sono le minacce, le vulnerabilità e l’impatto. </w:t>
      </w:r>
    </w:p>
    <w:p w:rsidR="00D9750F" w:rsidRDefault="00000000">
      <w:pPr>
        <w:spacing w:after="200"/>
      </w:pPr>
      <w:r>
        <w:t xml:space="preserve">Le </w:t>
      </w:r>
      <w:r>
        <w:rPr>
          <w:b/>
        </w:rPr>
        <w:t>minacce</w:t>
      </w:r>
      <w:r>
        <w:t xml:space="preserve"> (</w:t>
      </w:r>
      <w:proofErr w:type="spellStart"/>
      <w:r>
        <w:rPr>
          <w:i/>
        </w:rPr>
        <w:t>threats</w:t>
      </w:r>
      <w:proofErr w:type="spellEnd"/>
      <w:r>
        <w:t xml:space="preserve">, in inglese) possono essere portate da una molteplicità di </w:t>
      </w:r>
      <w:r>
        <w:rPr>
          <w:b/>
        </w:rPr>
        <w:t>agenti ostili</w:t>
      </w:r>
      <w:r>
        <w:rPr>
          <w:i/>
        </w:rPr>
        <w:t xml:space="preserve"> </w:t>
      </w:r>
      <w:r>
        <w:t>(</w:t>
      </w:r>
      <w:proofErr w:type="spellStart"/>
      <w:r>
        <w:rPr>
          <w:i/>
        </w:rPr>
        <w:t>threat</w:t>
      </w:r>
      <w:proofErr w:type="spellEnd"/>
      <w:r>
        <w:rPr>
          <w:i/>
        </w:rPr>
        <w:t xml:space="preserve"> </w:t>
      </w:r>
      <w:proofErr w:type="spellStart"/>
      <w:r>
        <w:rPr>
          <w:i/>
        </w:rPr>
        <w:t>actors</w:t>
      </w:r>
      <w:proofErr w:type="spellEnd"/>
      <w:r>
        <w:t xml:space="preserve">), quali ad esempio, </w:t>
      </w:r>
      <w:proofErr w:type="gramStart"/>
      <w:r>
        <w:t>nazioni,  criminali</w:t>
      </w:r>
      <w:proofErr w:type="gramEnd"/>
      <w:r>
        <w:t xml:space="preserve"> (singoli o organizzati in gruppi), attivisti (ad es. il gruppo </w:t>
      </w:r>
      <w:proofErr w:type="spellStart"/>
      <w:r>
        <w:rPr>
          <w:i/>
        </w:rPr>
        <w:t>anonymous</w:t>
      </w:r>
      <w:proofErr w:type="spellEnd"/>
      <w:r>
        <w:t>), o un dipendente infedele (</w:t>
      </w:r>
      <w:r>
        <w:rPr>
          <w:i/>
        </w:rPr>
        <w:t>insider</w:t>
      </w:r>
      <w:r>
        <w:t>). Molteplici possono essere le motivazioni che guidano gli agenti ostili: profitto, obiettivi politici o ideologici, spionaggio governativo o aziendale, finalità militari, per citarne alcuni.</w:t>
      </w:r>
    </w:p>
    <w:p w:rsidR="00D9750F" w:rsidRDefault="00000000">
      <w:pPr>
        <w:spacing w:after="200"/>
        <w:rPr>
          <w:i/>
        </w:rPr>
      </w:pPr>
      <w:r w:rsidRPr="000507C0">
        <w:rPr>
          <w:highlight w:val="yellow"/>
        </w:rPr>
        <w:t xml:space="preserve">Le </w:t>
      </w:r>
      <w:r w:rsidRPr="000507C0">
        <w:rPr>
          <w:b/>
          <w:highlight w:val="yellow"/>
        </w:rPr>
        <w:t>vulnerabilità</w:t>
      </w:r>
      <w:r w:rsidRPr="000507C0">
        <w:rPr>
          <w:highlight w:val="yellow"/>
        </w:rPr>
        <w:t xml:space="preserve"> sono difetti delle infrastrutture tecnologiche, delle procedure o dei processi aziendali che consentono l’esecuzione di comportamenti indesiderati nelle infrastrutture informatiche</w:t>
      </w:r>
      <w:r>
        <w:t xml:space="preserve">.  </w:t>
      </w:r>
      <w:r w:rsidRPr="000507C0">
        <w:rPr>
          <w:highlight w:val="yellow"/>
        </w:rPr>
        <w:t xml:space="preserve">Gli agenti ostili </w:t>
      </w:r>
      <w:r w:rsidRPr="000507C0">
        <w:rPr>
          <w:b/>
          <w:highlight w:val="yellow"/>
        </w:rPr>
        <w:t>sfruttano</w:t>
      </w:r>
      <w:r w:rsidRPr="000507C0">
        <w:rPr>
          <w:highlight w:val="yellow"/>
        </w:rPr>
        <w:t xml:space="preserve"> (</w:t>
      </w:r>
      <w:r w:rsidRPr="000507C0">
        <w:rPr>
          <w:i/>
          <w:highlight w:val="yellow"/>
        </w:rPr>
        <w:t>exploit</w:t>
      </w:r>
      <w:r w:rsidRPr="000507C0">
        <w:rPr>
          <w:highlight w:val="yellow"/>
        </w:rPr>
        <w:t xml:space="preserve">) le vulnerabilità per lanciare </w:t>
      </w:r>
      <w:r w:rsidRPr="000507C0">
        <w:rPr>
          <w:b/>
          <w:highlight w:val="yellow"/>
        </w:rPr>
        <w:t>attacchi cyber</w:t>
      </w:r>
      <w:r w:rsidRPr="000507C0">
        <w:rPr>
          <w:highlight w:val="yellow"/>
        </w:rPr>
        <w:t>. L’</w:t>
      </w:r>
      <w:r w:rsidRPr="000507C0">
        <w:rPr>
          <w:b/>
          <w:highlight w:val="yellow"/>
        </w:rPr>
        <w:t xml:space="preserve">impatto </w:t>
      </w:r>
      <w:r w:rsidRPr="000507C0">
        <w:rPr>
          <w:highlight w:val="yellow"/>
        </w:rPr>
        <w:t>è la conseguenza di un attacco cybe</w:t>
      </w:r>
      <w:r>
        <w:t xml:space="preserve">r, quali la perdita finanziaria, il danno reputazionale, l’interruzione del servizio, la sottrazione di segreti industriali, e </w:t>
      </w:r>
      <w:proofErr w:type="gramStart"/>
      <w:r>
        <w:t>la divulgazioni</w:t>
      </w:r>
      <w:proofErr w:type="gramEnd"/>
      <w:r>
        <w:t xml:space="preserve"> di dati sensibili.</w:t>
      </w:r>
    </w:p>
    <w:p w:rsidR="00D9750F" w:rsidRDefault="00000000">
      <w:pPr>
        <w:spacing w:after="200"/>
      </w:pPr>
      <w:r w:rsidRPr="000507C0">
        <w:rPr>
          <w:highlight w:val="yellow"/>
        </w:rPr>
        <w:t xml:space="preserve">L’impatto è normalmente legato alla violazione di una o più delle proprietà di </w:t>
      </w:r>
      <w:r w:rsidRPr="000507C0">
        <w:rPr>
          <w:b/>
          <w:highlight w:val="yellow"/>
        </w:rPr>
        <w:t>confidenzialità</w:t>
      </w:r>
      <w:r w:rsidRPr="000507C0">
        <w:rPr>
          <w:highlight w:val="yellow"/>
        </w:rPr>
        <w:t xml:space="preserve"> (</w:t>
      </w:r>
      <w:proofErr w:type="spellStart"/>
      <w:r w:rsidRPr="000507C0">
        <w:rPr>
          <w:highlight w:val="yellow"/>
        </w:rPr>
        <w:t>confidentiality</w:t>
      </w:r>
      <w:proofErr w:type="spellEnd"/>
      <w:r w:rsidRPr="000507C0">
        <w:rPr>
          <w:highlight w:val="yellow"/>
        </w:rPr>
        <w:t xml:space="preserve">), </w:t>
      </w:r>
      <w:r w:rsidRPr="000507C0">
        <w:rPr>
          <w:b/>
          <w:highlight w:val="yellow"/>
        </w:rPr>
        <w:t>integrità</w:t>
      </w:r>
      <w:r w:rsidRPr="000507C0">
        <w:rPr>
          <w:highlight w:val="yellow"/>
        </w:rPr>
        <w:t xml:space="preserve"> (</w:t>
      </w:r>
      <w:proofErr w:type="spellStart"/>
      <w:r w:rsidRPr="000507C0">
        <w:rPr>
          <w:i/>
          <w:highlight w:val="yellow"/>
        </w:rPr>
        <w:t>integrity</w:t>
      </w:r>
      <w:proofErr w:type="spellEnd"/>
      <w:r w:rsidRPr="000507C0">
        <w:rPr>
          <w:highlight w:val="yellow"/>
        </w:rPr>
        <w:t xml:space="preserve">) e </w:t>
      </w:r>
      <w:r w:rsidRPr="000507C0">
        <w:rPr>
          <w:b/>
          <w:highlight w:val="yellow"/>
        </w:rPr>
        <w:t>disponibilità</w:t>
      </w:r>
      <w:r w:rsidRPr="000507C0">
        <w:rPr>
          <w:highlight w:val="yellow"/>
        </w:rPr>
        <w:t xml:space="preserve"> (</w:t>
      </w:r>
      <w:proofErr w:type="spellStart"/>
      <w:r w:rsidRPr="000507C0">
        <w:rPr>
          <w:i/>
          <w:highlight w:val="yellow"/>
        </w:rPr>
        <w:t>availability</w:t>
      </w:r>
      <w:proofErr w:type="spellEnd"/>
      <w:r w:rsidRPr="000507C0">
        <w:rPr>
          <w:highlight w:val="yellow"/>
        </w:rPr>
        <w:t xml:space="preserve">) delle </w:t>
      </w:r>
      <w:r w:rsidRPr="000507C0">
        <w:rPr>
          <w:b/>
          <w:highlight w:val="yellow"/>
        </w:rPr>
        <w:t>risorse digitali</w:t>
      </w:r>
      <w:r w:rsidRPr="000507C0">
        <w:rPr>
          <w:highlight w:val="yellow"/>
        </w:rPr>
        <w:t xml:space="preserve"> (</w:t>
      </w:r>
      <w:proofErr w:type="spellStart"/>
      <w:r w:rsidRPr="000507C0">
        <w:rPr>
          <w:i/>
          <w:highlight w:val="yellow"/>
        </w:rPr>
        <w:t>digital</w:t>
      </w:r>
      <w:proofErr w:type="spellEnd"/>
      <w:r w:rsidRPr="000507C0">
        <w:rPr>
          <w:i/>
          <w:highlight w:val="yellow"/>
        </w:rPr>
        <w:t xml:space="preserve"> assets) </w:t>
      </w:r>
      <w:r w:rsidRPr="000507C0">
        <w:rPr>
          <w:highlight w:val="yellow"/>
        </w:rPr>
        <w:t xml:space="preserve">dell’organizzazione.  La confidenzialità si riferisce all’esigenza di restringere l’accesso alle </w:t>
      </w:r>
      <w:r w:rsidRPr="000507C0">
        <w:rPr>
          <w:highlight w:val="yellow"/>
        </w:rPr>
        <w:lastRenderedPageBreak/>
        <w:t>informazioni ad un insieme ristretto di soggetti autorizzati, l’integrità alla garanzia che i dati siano accurati e affidabili, la disponibilità alla garanzia che i dati o i servizi siano accessibili</w:t>
      </w:r>
      <w:r>
        <w:t xml:space="preserve"> </w:t>
      </w:r>
    </w:p>
    <w:p w:rsidR="00D9750F" w:rsidRDefault="00000000">
      <w:pPr>
        <w:spacing w:after="200"/>
      </w:pPr>
      <w:r>
        <w:t>Tabella 1. - Minacce Cyber: Tipologia, Impatto e Frequenza</w:t>
      </w:r>
    </w:p>
    <w:p w:rsidR="00D9750F" w:rsidRDefault="00000000">
      <w:pPr>
        <w:spacing w:after="200"/>
      </w:pPr>
      <w:r>
        <w:t xml:space="preserve">(Tratto da </w:t>
      </w:r>
      <w:hyperlink r:id="rId10">
        <w:r>
          <w:rPr>
            <w:color w:val="1155CC"/>
            <w:u w:val="single"/>
          </w:rPr>
          <w:t>https://carnegieendowment.org/files/Kaffenberger_Cyber_Risk_Scenarios_final1.pdf</w:t>
        </w:r>
      </w:hyperlink>
      <w:r>
        <w:t>)</w:t>
      </w:r>
    </w:p>
    <w:tbl>
      <w:tblPr>
        <w:tblStyle w:val="a1"/>
        <w:tblW w:w="96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3420"/>
        <w:gridCol w:w="2250"/>
        <w:gridCol w:w="1590"/>
      </w:tblGrid>
      <w:tr w:rsidR="00D9750F">
        <w:tc>
          <w:tcPr>
            <w:tcW w:w="2370" w:type="dxa"/>
            <w:shd w:val="clear" w:color="auto" w:fill="auto"/>
            <w:tcMar>
              <w:top w:w="100" w:type="dxa"/>
              <w:left w:w="100" w:type="dxa"/>
              <w:bottom w:w="100" w:type="dxa"/>
              <w:right w:w="100" w:type="dxa"/>
            </w:tcMar>
          </w:tcPr>
          <w:p w:rsidR="00D9750F" w:rsidRDefault="00000000">
            <w:pPr>
              <w:widowControl w:val="0"/>
              <w:pBdr>
                <w:top w:val="nil"/>
                <w:left w:val="nil"/>
                <w:bottom w:val="nil"/>
                <w:right w:val="nil"/>
                <w:between w:val="nil"/>
              </w:pBdr>
              <w:jc w:val="center"/>
              <w:rPr>
                <w:b/>
                <w:sz w:val="20"/>
                <w:szCs w:val="20"/>
              </w:rPr>
            </w:pPr>
            <w:r>
              <w:rPr>
                <w:b/>
                <w:sz w:val="20"/>
                <w:szCs w:val="20"/>
              </w:rPr>
              <w:t>Categoria</w:t>
            </w:r>
          </w:p>
        </w:tc>
        <w:tc>
          <w:tcPr>
            <w:tcW w:w="3420" w:type="dxa"/>
            <w:shd w:val="clear" w:color="auto" w:fill="auto"/>
            <w:tcMar>
              <w:top w:w="100" w:type="dxa"/>
              <w:left w:w="100" w:type="dxa"/>
              <w:bottom w:w="100" w:type="dxa"/>
              <w:right w:w="100" w:type="dxa"/>
            </w:tcMar>
          </w:tcPr>
          <w:p w:rsidR="00D9750F" w:rsidRDefault="00000000">
            <w:pPr>
              <w:widowControl w:val="0"/>
              <w:pBdr>
                <w:top w:val="nil"/>
                <w:left w:val="nil"/>
                <w:bottom w:val="nil"/>
                <w:right w:val="nil"/>
                <w:between w:val="nil"/>
              </w:pBdr>
              <w:jc w:val="center"/>
              <w:rPr>
                <w:b/>
                <w:sz w:val="20"/>
                <w:szCs w:val="20"/>
              </w:rPr>
            </w:pPr>
            <w:r>
              <w:rPr>
                <w:b/>
                <w:sz w:val="20"/>
                <w:szCs w:val="20"/>
              </w:rPr>
              <w:t>Azioni</w:t>
            </w:r>
          </w:p>
        </w:tc>
        <w:tc>
          <w:tcPr>
            <w:tcW w:w="2250" w:type="dxa"/>
            <w:shd w:val="clear" w:color="auto" w:fill="auto"/>
            <w:tcMar>
              <w:top w:w="100" w:type="dxa"/>
              <w:left w:w="100" w:type="dxa"/>
              <w:bottom w:w="100" w:type="dxa"/>
              <w:right w:w="100" w:type="dxa"/>
            </w:tcMar>
          </w:tcPr>
          <w:p w:rsidR="00D9750F" w:rsidRDefault="00000000">
            <w:pPr>
              <w:widowControl w:val="0"/>
              <w:pBdr>
                <w:top w:val="nil"/>
                <w:left w:val="nil"/>
                <w:bottom w:val="nil"/>
                <w:right w:val="nil"/>
                <w:between w:val="nil"/>
              </w:pBdr>
              <w:jc w:val="center"/>
              <w:rPr>
                <w:b/>
                <w:sz w:val="20"/>
                <w:szCs w:val="20"/>
              </w:rPr>
            </w:pPr>
            <w:r>
              <w:rPr>
                <w:b/>
                <w:sz w:val="20"/>
                <w:szCs w:val="20"/>
              </w:rPr>
              <w:t>Impatto</w:t>
            </w:r>
          </w:p>
        </w:tc>
        <w:tc>
          <w:tcPr>
            <w:tcW w:w="1590" w:type="dxa"/>
            <w:shd w:val="clear" w:color="auto" w:fill="auto"/>
            <w:tcMar>
              <w:top w:w="100" w:type="dxa"/>
              <w:left w:w="100" w:type="dxa"/>
              <w:bottom w:w="100" w:type="dxa"/>
              <w:right w:w="100" w:type="dxa"/>
            </w:tcMar>
          </w:tcPr>
          <w:p w:rsidR="00D9750F" w:rsidRDefault="00000000">
            <w:pPr>
              <w:widowControl w:val="0"/>
              <w:pBdr>
                <w:top w:val="nil"/>
                <w:left w:val="nil"/>
                <w:bottom w:val="nil"/>
                <w:right w:val="nil"/>
                <w:between w:val="nil"/>
              </w:pBdr>
              <w:jc w:val="center"/>
              <w:rPr>
                <w:b/>
                <w:sz w:val="20"/>
                <w:szCs w:val="20"/>
              </w:rPr>
            </w:pPr>
            <w:r>
              <w:rPr>
                <w:b/>
                <w:sz w:val="20"/>
                <w:szCs w:val="20"/>
              </w:rPr>
              <w:t>Frequenza</w:t>
            </w:r>
          </w:p>
        </w:tc>
      </w:tr>
      <w:tr w:rsidR="00D9750F">
        <w:tc>
          <w:tcPr>
            <w:tcW w:w="2370" w:type="dxa"/>
            <w:shd w:val="clear" w:color="auto" w:fill="auto"/>
            <w:tcMar>
              <w:top w:w="100" w:type="dxa"/>
              <w:left w:w="100" w:type="dxa"/>
              <w:bottom w:w="100" w:type="dxa"/>
              <w:right w:w="100" w:type="dxa"/>
            </w:tcMar>
          </w:tcPr>
          <w:p w:rsidR="00D9750F" w:rsidRDefault="00000000">
            <w:pPr>
              <w:widowControl w:val="0"/>
              <w:pBdr>
                <w:top w:val="nil"/>
                <w:left w:val="nil"/>
                <w:bottom w:val="nil"/>
                <w:right w:val="nil"/>
                <w:between w:val="nil"/>
              </w:pBdr>
              <w:rPr>
                <w:sz w:val="20"/>
                <w:szCs w:val="20"/>
              </w:rPr>
            </w:pPr>
            <w:r>
              <w:rPr>
                <w:sz w:val="20"/>
                <w:szCs w:val="20"/>
              </w:rPr>
              <w:t>Stati-nazione</w:t>
            </w:r>
          </w:p>
        </w:tc>
        <w:tc>
          <w:tcPr>
            <w:tcW w:w="3420" w:type="dxa"/>
            <w:shd w:val="clear" w:color="auto" w:fill="auto"/>
            <w:tcMar>
              <w:top w:w="100" w:type="dxa"/>
              <w:left w:w="100" w:type="dxa"/>
              <w:bottom w:w="100" w:type="dxa"/>
              <w:right w:w="100" w:type="dxa"/>
            </w:tcMar>
          </w:tcPr>
          <w:p w:rsidR="00D9750F" w:rsidRDefault="00000000">
            <w:pPr>
              <w:widowControl w:val="0"/>
              <w:pBdr>
                <w:top w:val="nil"/>
                <w:left w:val="nil"/>
                <w:bottom w:val="nil"/>
                <w:right w:val="nil"/>
                <w:between w:val="nil"/>
              </w:pBdr>
              <w:rPr>
                <w:sz w:val="20"/>
                <w:szCs w:val="20"/>
              </w:rPr>
            </w:pPr>
            <w:r>
              <w:rPr>
                <w:sz w:val="20"/>
                <w:szCs w:val="20"/>
              </w:rPr>
              <w:t>Attacchi cyber alle infrastrutture critiche (produzione/distribuzione energia elettrica; sistema finanziario)</w:t>
            </w:r>
          </w:p>
        </w:tc>
        <w:tc>
          <w:tcPr>
            <w:tcW w:w="2250" w:type="dxa"/>
            <w:shd w:val="clear" w:color="auto" w:fill="auto"/>
            <w:tcMar>
              <w:top w:w="100" w:type="dxa"/>
              <w:left w:w="100" w:type="dxa"/>
              <w:bottom w:w="100" w:type="dxa"/>
              <w:right w:w="100" w:type="dxa"/>
            </w:tcMar>
          </w:tcPr>
          <w:p w:rsidR="00D9750F" w:rsidRDefault="00000000">
            <w:pPr>
              <w:widowControl w:val="0"/>
              <w:pBdr>
                <w:top w:val="nil"/>
                <w:left w:val="nil"/>
                <w:bottom w:val="nil"/>
                <w:right w:val="nil"/>
                <w:between w:val="nil"/>
              </w:pBdr>
              <w:rPr>
                <w:sz w:val="20"/>
                <w:szCs w:val="20"/>
              </w:rPr>
            </w:pPr>
            <w:r>
              <w:rPr>
                <w:sz w:val="20"/>
                <w:szCs w:val="20"/>
              </w:rPr>
              <w:t>disservizi su vasta scala</w:t>
            </w:r>
          </w:p>
        </w:tc>
        <w:tc>
          <w:tcPr>
            <w:tcW w:w="1590" w:type="dxa"/>
            <w:shd w:val="clear" w:color="auto" w:fill="auto"/>
            <w:tcMar>
              <w:top w:w="100" w:type="dxa"/>
              <w:left w:w="100" w:type="dxa"/>
              <w:bottom w:w="100" w:type="dxa"/>
              <w:right w:w="100" w:type="dxa"/>
            </w:tcMar>
          </w:tcPr>
          <w:p w:rsidR="00D9750F" w:rsidRDefault="00000000">
            <w:pPr>
              <w:widowControl w:val="0"/>
              <w:pBdr>
                <w:top w:val="nil"/>
                <w:left w:val="nil"/>
                <w:bottom w:val="nil"/>
                <w:right w:val="nil"/>
                <w:between w:val="nil"/>
              </w:pBdr>
              <w:rPr>
                <w:sz w:val="20"/>
                <w:szCs w:val="20"/>
              </w:rPr>
            </w:pPr>
            <w:r>
              <w:rPr>
                <w:sz w:val="20"/>
                <w:szCs w:val="20"/>
              </w:rPr>
              <w:t>molto rara</w:t>
            </w:r>
          </w:p>
        </w:tc>
      </w:tr>
      <w:tr w:rsidR="00D9750F">
        <w:tc>
          <w:tcPr>
            <w:tcW w:w="2370" w:type="dxa"/>
            <w:shd w:val="clear" w:color="auto" w:fill="auto"/>
            <w:tcMar>
              <w:top w:w="100" w:type="dxa"/>
              <w:left w:w="100" w:type="dxa"/>
              <w:bottom w:w="100" w:type="dxa"/>
              <w:right w:w="100" w:type="dxa"/>
            </w:tcMar>
          </w:tcPr>
          <w:p w:rsidR="00D9750F" w:rsidRDefault="00000000">
            <w:pPr>
              <w:widowControl w:val="0"/>
              <w:pBdr>
                <w:top w:val="nil"/>
                <w:left w:val="nil"/>
                <w:bottom w:val="nil"/>
                <w:right w:val="nil"/>
                <w:between w:val="nil"/>
              </w:pBdr>
              <w:rPr>
                <w:sz w:val="20"/>
                <w:szCs w:val="20"/>
              </w:rPr>
            </w:pPr>
            <w:r>
              <w:rPr>
                <w:sz w:val="20"/>
                <w:szCs w:val="20"/>
              </w:rPr>
              <w:t>Organizzazioni criminali (anche su procura di stati-nazione)</w:t>
            </w:r>
          </w:p>
        </w:tc>
        <w:tc>
          <w:tcPr>
            <w:tcW w:w="3420" w:type="dxa"/>
            <w:shd w:val="clear" w:color="auto" w:fill="auto"/>
            <w:tcMar>
              <w:top w:w="100" w:type="dxa"/>
              <w:left w:w="100" w:type="dxa"/>
              <w:bottom w:w="100" w:type="dxa"/>
              <w:right w:w="100" w:type="dxa"/>
            </w:tcMar>
          </w:tcPr>
          <w:p w:rsidR="00D9750F" w:rsidRDefault="00000000">
            <w:pPr>
              <w:widowControl w:val="0"/>
              <w:pBdr>
                <w:top w:val="nil"/>
                <w:left w:val="nil"/>
                <w:bottom w:val="nil"/>
                <w:right w:val="nil"/>
                <w:between w:val="nil"/>
              </w:pBdr>
              <w:rPr>
                <w:sz w:val="20"/>
                <w:szCs w:val="20"/>
              </w:rPr>
            </w:pPr>
            <w:r>
              <w:rPr>
                <w:sz w:val="20"/>
                <w:szCs w:val="20"/>
              </w:rPr>
              <w:t>furto di segreti industriali</w:t>
            </w:r>
          </w:p>
        </w:tc>
        <w:tc>
          <w:tcPr>
            <w:tcW w:w="2250" w:type="dxa"/>
            <w:shd w:val="clear" w:color="auto" w:fill="auto"/>
            <w:tcMar>
              <w:top w:w="100" w:type="dxa"/>
              <w:left w:w="100" w:type="dxa"/>
              <w:bottom w:w="100" w:type="dxa"/>
              <w:right w:w="100" w:type="dxa"/>
            </w:tcMar>
          </w:tcPr>
          <w:p w:rsidR="00D9750F" w:rsidRDefault="00000000">
            <w:pPr>
              <w:widowControl w:val="0"/>
              <w:pBdr>
                <w:top w:val="nil"/>
                <w:left w:val="nil"/>
                <w:bottom w:val="nil"/>
                <w:right w:val="nil"/>
                <w:between w:val="nil"/>
              </w:pBdr>
              <w:rPr>
                <w:sz w:val="20"/>
                <w:szCs w:val="20"/>
              </w:rPr>
            </w:pPr>
            <w:r>
              <w:rPr>
                <w:sz w:val="20"/>
                <w:szCs w:val="20"/>
              </w:rPr>
              <w:t>perdita di competitività</w:t>
            </w:r>
          </w:p>
        </w:tc>
        <w:tc>
          <w:tcPr>
            <w:tcW w:w="1590" w:type="dxa"/>
            <w:shd w:val="clear" w:color="auto" w:fill="auto"/>
            <w:tcMar>
              <w:top w:w="100" w:type="dxa"/>
              <w:left w:w="100" w:type="dxa"/>
              <w:bottom w:w="100" w:type="dxa"/>
              <w:right w:w="100" w:type="dxa"/>
            </w:tcMar>
          </w:tcPr>
          <w:p w:rsidR="00D9750F" w:rsidRDefault="00000000">
            <w:pPr>
              <w:widowControl w:val="0"/>
              <w:pBdr>
                <w:top w:val="nil"/>
                <w:left w:val="nil"/>
                <w:bottom w:val="nil"/>
                <w:right w:val="nil"/>
                <w:between w:val="nil"/>
              </w:pBdr>
              <w:rPr>
                <w:sz w:val="20"/>
                <w:szCs w:val="20"/>
              </w:rPr>
            </w:pPr>
            <w:r>
              <w:rPr>
                <w:sz w:val="20"/>
                <w:szCs w:val="20"/>
              </w:rPr>
              <w:t>molto rara</w:t>
            </w:r>
          </w:p>
        </w:tc>
      </w:tr>
      <w:tr w:rsidR="00D9750F">
        <w:tc>
          <w:tcPr>
            <w:tcW w:w="2370" w:type="dxa"/>
            <w:shd w:val="clear" w:color="auto" w:fill="auto"/>
            <w:tcMar>
              <w:top w:w="100" w:type="dxa"/>
              <w:left w:w="100" w:type="dxa"/>
              <w:bottom w:w="100" w:type="dxa"/>
              <w:right w:w="100" w:type="dxa"/>
            </w:tcMar>
          </w:tcPr>
          <w:p w:rsidR="00D9750F" w:rsidRDefault="00000000">
            <w:pPr>
              <w:widowControl w:val="0"/>
              <w:pBdr>
                <w:top w:val="nil"/>
                <w:left w:val="nil"/>
                <w:bottom w:val="nil"/>
                <w:right w:val="nil"/>
                <w:between w:val="nil"/>
              </w:pBdr>
              <w:rPr>
                <w:sz w:val="20"/>
                <w:szCs w:val="20"/>
              </w:rPr>
            </w:pPr>
            <w:r>
              <w:rPr>
                <w:sz w:val="20"/>
                <w:szCs w:val="20"/>
              </w:rPr>
              <w:t>Gruppi criminali</w:t>
            </w:r>
          </w:p>
        </w:tc>
        <w:tc>
          <w:tcPr>
            <w:tcW w:w="3420" w:type="dxa"/>
            <w:shd w:val="clear" w:color="auto" w:fill="auto"/>
            <w:tcMar>
              <w:top w:w="100" w:type="dxa"/>
              <w:left w:w="100" w:type="dxa"/>
              <w:bottom w:w="100" w:type="dxa"/>
              <w:right w:w="100" w:type="dxa"/>
            </w:tcMar>
          </w:tcPr>
          <w:p w:rsidR="00D9750F" w:rsidRDefault="00000000">
            <w:pPr>
              <w:widowControl w:val="0"/>
              <w:rPr>
                <w:sz w:val="20"/>
                <w:szCs w:val="20"/>
              </w:rPr>
            </w:pPr>
            <w:r>
              <w:rPr>
                <w:sz w:val="20"/>
                <w:szCs w:val="20"/>
              </w:rPr>
              <w:t>furto o estorsione di denaro</w:t>
            </w:r>
          </w:p>
        </w:tc>
        <w:tc>
          <w:tcPr>
            <w:tcW w:w="2250" w:type="dxa"/>
            <w:shd w:val="clear" w:color="auto" w:fill="auto"/>
            <w:tcMar>
              <w:top w:w="100" w:type="dxa"/>
              <w:left w:w="100" w:type="dxa"/>
              <w:bottom w:w="100" w:type="dxa"/>
              <w:right w:w="100" w:type="dxa"/>
            </w:tcMar>
          </w:tcPr>
          <w:p w:rsidR="00D9750F" w:rsidRDefault="00000000">
            <w:pPr>
              <w:widowControl w:val="0"/>
              <w:rPr>
                <w:sz w:val="20"/>
                <w:szCs w:val="20"/>
              </w:rPr>
            </w:pPr>
            <w:r>
              <w:rPr>
                <w:sz w:val="20"/>
                <w:szCs w:val="20"/>
              </w:rPr>
              <w:t xml:space="preserve">perdita finanziaria; danno reputazionale </w:t>
            </w:r>
          </w:p>
        </w:tc>
        <w:tc>
          <w:tcPr>
            <w:tcW w:w="1590" w:type="dxa"/>
            <w:shd w:val="clear" w:color="auto" w:fill="auto"/>
            <w:tcMar>
              <w:top w:w="100" w:type="dxa"/>
              <w:left w:w="100" w:type="dxa"/>
              <w:bottom w:w="100" w:type="dxa"/>
              <w:right w:w="100" w:type="dxa"/>
            </w:tcMar>
          </w:tcPr>
          <w:p w:rsidR="00D9750F" w:rsidRDefault="00000000">
            <w:pPr>
              <w:widowControl w:val="0"/>
              <w:pBdr>
                <w:top w:val="nil"/>
                <w:left w:val="nil"/>
                <w:bottom w:val="nil"/>
                <w:right w:val="nil"/>
                <w:between w:val="nil"/>
              </w:pBdr>
              <w:rPr>
                <w:sz w:val="20"/>
                <w:szCs w:val="20"/>
              </w:rPr>
            </w:pPr>
            <w:r>
              <w:rPr>
                <w:sz w:val="20"/>
                <w:szCs w:val="20"/>
              </w:rPr>
              <w:t>molto comune</w:t>
            </w:r>
          </w:p>
        </w:tc>
      </w:tr>
      <w:tr w:rsidR="00D9750F">
        <w:tc>
          <w:tcPr>
            <w:tcW w:w="2370" w:type="dxa"/>
            <w:shd w:val="clear" w:color="auto" w:fill="auto"/>
            <w:tcMar>
              <w:top w:w="100" w:type="dxa"/>
              <w:left w:w="100" w:type="dxa"/>
              <w:bottom w:w="100" w:type="dxa"/>
              <w:right w:w="100" w:type="dxa"/>
            </w:tcMar>
          </w:tcPr>
          <w:p w:rsidR="00D9750F" w:rsidRDefault="00000000">
            <w:pPr>
              <w:widowControl w:val="0"/>
              <w:pBdr>
                <w:top w:val="nil"/>
                <w:left w:val="nil"/>
                <w:bottom w:val="nil"/>
                <w:right w:val="nil"/>
                <w:between w:val="nil"/>
              </w:pBdr>
              <w:rPr>
                <w:sz w:val="20"/>
                <w:szCs w:val="20"/>
              </w:rPr>
            </w:pPr>
            <w:r>
              <w:rPr>
                <w:sz w:val="20"/>
                <w:szCs w:val="20"/>
              </w:rPr>
              <w:t>Attivisti</w:t>
            </w:r>
          </w:p>
        </w:tc>
        <w:tc>
          <w:tcPr>
            <w:tcW w:w="3420" w:type="dxa"/>
            <w:shd w:val="clear" w:color="auto" w:fill="auto"/>
            <w:tcMar>
              <w:top w:w="100" w:type="dxa"/>
              <w:left w:w="100" w:type="dxa"/>
              <w:bottom w:w="100" w:type="dxa"/>
              <w:right w:w="100" w:type="dxa"/>
            </w:tcMar>
          </w:tcPr>
          <w:p w:rsidR="00D9750F" w:rsidRDefault="00000000">
            <w:pPr>
              <w:widowControl w:val="0"/>
              <w:rPr>
                <w:sz w:val="20"/>
                <w:szCs w:val="20"/>
              </w:rPr>
            </w:pPr>
            <w:r>
              <w:rPr>
                <w:sz w:val="20"/>
                <w:szCs w:val="20"/>
              </w:rPr>
              <w:t xml:space="preserve">furto di denaro a organizzazioni finanziarie; interruzione del servizio </w:t>
            </w:r>
          </w:p>
        </w:tc>
        <w:tc>
          <w:tcPr>
            <w:tcW w:w="2250" w:type="dxa"/>
            <w:shd w:val="clear" w:color="auto" w:fill="auto"/>
            <w:tcMar>
              <w:top w:w="100" w:type="dxa"/>
              <w:left w:w="100" w:type="dxa"/>
              <w:bottom w:w="100" w:type="dxa"/>
              <w:right w:w="100" w:type="dxa"/>
            </w:tcMar>
          </w:tcPr>
          <w:p w:rsidR="00D9750F" w:rsidRDefault="00000000">
            <w:pPr>
              <w:widowControl w:val="0"/>
              <w:rPr>
                <w:sz w:val="20"/>
                <w:szCs w:val="20"/>
              </w:rPr>
            </w:pPr>
            <w:r>
              <w:rPr>
                <w:sz w:val="20"/>
                <w:szCs w:val="20"/>
              </w:rPr>
              <w:t>perdita finanziaria; danno reputazionale</w:t>
            </w:r>
          </w:p>
        </w:tc>
        <w:tc>
          <w:tcPr>
            <w:tcW w:w="1590" w:type="dxa"/>
            <w:shd w:val="clear" w:color="auto" w:fill="auto"/>
            <w:tcMar>
              <w:top w:w="100" w:type="dxa"/>
              <w:left w:w="100" w:type="dxa"/>
              <w:bottom w:w="100" w:type="dxa"/>
              <w:right w:w="100" w:type="dxa"/>
            </w:tcMar>
          </w:tcPr>
          <w:p w:rsidR="00D9750F" w:rsidRDefault="00000000">
            <w:pPr>
              <w:widowControl w:val="0"/>
              <w:pBdr>
                <w:top w:val="nil"/>
                <w:left w:val="nil"/>
                <w:bottom w:val="nil"/>
                <w:right w:val="nil"/>
                <w:between w:val="nil"/>
              </w:pBdr>
              <w:rPr>
                <w:sz w:val="20"/>
                <w:szCs w:val="20"/>
              </w:rPr>
            </w:pPr>
            <w:r>
              <w:rPr>
                <w:sz w:val="20"/>
                <w:szCs w:val="20"/>
              </w:rPr>
              <w:t>moderatamente comune</w:t>
            </w:r>
          </w:p>
        </w:tc>
      </w:tr>
      <w:tr w:rsidR="00D9750F">
        <w:tc>
          <w:tcPr>
            <w:tcW w:w="2370" w:type="dxa"/>
            <w:shd w:val="clear" w:color="auto" w:fill="auto"/>
            <w:tcMar>
              <w:top w:w="100" w:type="dxa"/>
              <w:left w:w="100" w:type="dxa"/>
              <w:bottom w:w="100" w:type="dxa"/>
              <w:right w:w="100" w:type="dxa"/>
            </w:tcMar>
          </w:tcPr>
          <w:p w:rsidR="00D9750F" w:rsidRDefault="00000000">
            <w:pPr>
              <w:widowControl w:val="0"/>
              <w:pBdr>
                <w:top w:val="nil"/>
                <w:left w:val="nil"/>
                <w:bottom w:val="nil"/>
                <w:right w:val="nil"/>
                <w:between w:val="nil"/>
              </w:pBdr>
              <w:rPr>
                <w:sz w:val="20"/>
                <w:szCs w:val="20"/>
              </w:rPr>
            </w:pPr>
            <w:r>
              <w:rPr>
                <w:sz w:val="20"/>
                <w:szCs w:val="20"/>
              </w:rPr>
              <w:t>Dipendente Infedele</w:t>
            </w:r>
          </w:p>
        </w:tc>
        <w:tc>
          <w:tcPr>
            <w:tcW w:w="3420" w:type="dxa"/>
            <w:shd w:val="clear" w:color="auto" w:fill="auto"/>
            <w:tcMar>
              <w:top w:w="100" w:type="dxa"/>
              <w:left w:w="100" w:type="dxa"/>
              <w:bottom w:w="100" w:type="dxa"/>
              <w:right w:w="100" w:type="dxa"/>
            </w:tcMar>
          </w:tcPr>
          <w:p w:rsidR="00D9750F" w:rsidRDefault="00000000">
            <w:pPr>
              <w:widowControl w:val="0"/>
              <w:pBdr>
                <w:top w:val="nil"/>
                <w:left w:val="nil"/>
                <w:bottom w:val="nil"/>
                <w:right w:val="nil"/>
                <w:between w:val="nil"/>
              </w:pBdr>
              <w:rPr>
                <w:sz w:val="20"/>
                <w:szCs w:val="20"/>
              </w:rPr>
            </w:pPr>
            <w:r>
              <w:rPr>
                <w:sz w:val="20"/>
                <w:szCs w:val="20"/>
              </w:rPr>
              <w:t>furto di denaro; distruzione o alterazione dei dati; interruzione di servizio</w:t>
            </w:r>
          </w:p>
        </w:tc>
        <w:tc>
          <w:tcPr>
            <w:tcW w:w="2250" w:type="dxa"/>
            <w:shd w:val="clear" w:color="auto" w:fill="auto"/>
            <w:tcMar>
              <w:top w:w="100" w:type="dxa"/>
              <w:left w:w="100" w:type="dxa"/>
              <w:bottom w:w="100" w:type="dxa"/>
              <w:right w:w="100" w:type="dxa"/>
            </w:tcMar>
          </w:tcPr>
          <w:p w:rsidR="00D9750F" w:rsidRDefault="00000000">
            <w:pPr>
              <w:widowControl w:val="0"/>
              <w:rPr>
                <w:sz w:val="20"/>
                <w:szCs w:val="20"/>
              </w:rPr>
            </w:pPr>
            <w:r>
              <w:rPr>
                <w:sz w:val="20"/>
                <w:szCs w:val="20"/>
              </w:rPr>
              <w:t xml:space="preserve">perdita finanziaria; danno reputazionale </w:t>
            </w:r>
          </w:p>
        </w:tc>
        <w:tc>
          <w:tcPr>
            <w:tcW w:w="1590" w:type="dxa"/>
            <w:shd w:val="clear" w:color="auto" w:fill="auto"/>
            <w:tcMar>
              <w:top w:w="100" w:type="dxa"/>
              <w:left w:w="100" w:type="dxa"/>
              <w:bottom w:w="100" w:type="dxa"/>
              <w:right w:w="100" w:type="dxa"/>
            </w:tcMar>
          </w:tcPr>
          <w:p w:rsidR="00D9750F" w:rsidRDefault="00000000">
            <w:pPr>
              <w:widowControl w:val="0"/>
              <w:pBdr>
                <w:top w:val="nil"/>
                <w:left w:val="nil"/>
                <w:bottom w:val="nil"/>
                <w:right w:val="nil"/>
                <w:between w:val="nil"/>
              </w:pBdr>
              <w:rPr>
                <w:sz w:val="20"/>
                <w:szCs w:val="20"/>
              </w:rPr>
            </w:pPr>
            <w:r>
              <w:rPr>
                <w:sz w:val="20"/>
                <w:szCs w:val="20"/>
              </w:rPr>
              <w:t>raro</w:t>
            </w:r>
          </w:p>
        </w:tc>
      </w:tr>
    </w:tbl>
    <w:p w:rsidR="00D9750F" w:rsidRDefault="00D9750F">
      <w:pPr>
        <w:spacing w:after="200"/>
      </w:pPr>
    </w:p>
    <w:p w:rsidR="00D9750F" w:rsidRDefault="00000000">
      <w:pPr>
        <w:pBdr>
          <w:top w:val="nil"/>
          <w:left w:val="nil"/>
          <w:bottom w:val="nil"/>
          <w:right w:val="nil"/>
          <w:between w:val="nil"/>
        </w:pBdr>
        <w:spacing w:after="200"/>
      </w:pPr>
      <w:r>
        <w:t xml:space="preserve">Ad esempio, un sistema informatico con una vulnerabilità nei meccanismi di autenticazione (ad esempio, utilizzo di password facilmente prevedibili) può consentire l’accesso a dati sensibili a utenti non autorizzati e quindi ad una violazione della confidenzialità.  Una vulnerabilità nel processo di pagamento delle fatture può esporre un’azienda a frodi da parte di un impiegato infedele (violazione dell’integrità).  Infine, una vulnerabilità nel controllo degli accessi ai locali di un’azienda può consentire ad un attaccante di danneggiare le infrastrutture di calcolo o di comunicazione rendendo così indisponibili i servizi informatici utilizzato o offerti dall’azienda (violazione della disponibilità). </w:t>
      </w:r>
    </w:p>
    <w:p w:rsidR="00D9750F" w:rsidRDefault="00000000">
      <w:pPr>
        <w:pBdr>
          <w:top w:val="nil"/>
          <w:left w:val="nil"/>
          <w:bottom w:val="nil"/>
          <w:right w:val="nil"/>
          <w:between w:val="nil"/>
        </w:pBdr>
        <w:spacing w:after="200"/>
      </w:pPr>
      <w:r>
        <w:t xml:space="preserve">Anche se l’accesso non autorizzato alle infrastrutture dell’organizzazione è una minaccia concreta (ancorché sottovalutata), gli attacchi vengono più frequentemente condotti da remoto, sfruttando vulnerabilità nei servizi informatici utilizzati dall’organizzazione per penetrarli.  Le statistiche evidenziano che anche la semplice posta elettronica è un efficace </w:t>
      </w:r>
      <w:r>
        <w:rPr>
          <w:b/>
        </w:rPr>
        <w:t>vettore di attacco</w:t>
      </w:r>
      <w:r>
        <w:t xml:space="preserve"> grazie al quale gli attaccanti possono raggiungere i loro obiettivi iniettando </w:t>
      </w:r>
      <w:r>
        <w:rPr>
          <w:b/>
        </w:rPr>
        <w:t>software malevolo</w:t>
      </w:r>
      <w:r>
        <w:t xml:space="preserve"> (</w:t>
      </w:r>
      <w:r>
        <w:rPr>
          <w:i/>
        </w:rPr>
        <w:t>malware</w:t>
      </w:r>
      <w:r>
        <w:t>)</w:t>
      </w:r>
      <w:r>
        <w:rPr>
          <w:b/>
        </w:rPr>
        <w:t xml:space="preserve"> </w:t>
      </w:r>
      <w:r>
        <w:t>che, sfruttando una o più vulnerabilità, compie il danno per cui è stato progettato.</w:t>
      </w:r>
    </w:p>
    <w:p w:rsidR="00D9750F" w:rsidRDefault="00D9750F"/>
    <w:p w:rsidR="00D9750F" w:rsidRDefault="00D9750F">
      <w:pPr>
        <w:pBdr>
          <w:top w:val="nil"/>
          <w:left w:val="nil"/>
          <w:bottom w:val="nil"/>
          <w:right w:val="nil"/>
          <w:between w:val="nil"/>
        </w:pBdr>
        <w:ind w:left="-360"/>
        <w:rPr>
          <w:color w:val="000000"/>
        </w:rPr>
      </w:pPr>
    </w:p>
    <w:sectPr w:rsidR="00D9750F">
      <w:footerReference w:type="even" r:id="rId11"/>
      <w:footerReference w:type="default" r:id="rId12"/>
      <w:pgSz w:w="11900" w:h="16840"/>
      <w:pgMar w:top="1134" w:right="1134" w:bottom="1134"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721E4E" w14:textId="77777777" w:rsidR="00851A74" w:rsidRDefault="00851A74">
      <w:r>
        <w:separator/>
      </w:r>
    </w:p>
  </w:endnote>
  <w:endnote w:type="continuationSeparator" w:id="0">
    <w:p w14:paraId="095C6C83" w14:textId="77777777" w:rsidR="00851A74" w:rsidRDefault="00851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390C9D" w14:textId="77777777" w:rsidR="00D9750F" w:rsidRDefault="00000000">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3A5A1D4" w14:textId="77777777" w:rsidR="00D9750F" w:rsidRDefault="00D9750F">
    <w:pPr>
      <w:pBdr>
        <w:top w:val="nil"/>
        <w:left w:val="nil"/>
        <w:bottom w:val="nil"/>
        <w:right w:val="nil"/>
        <w:between w:val="nil"/>
      </w:pBdr>
      <w:tabs>
        <w:tab w:val="center" w:pos="4819"/>
        <w:tab w:val="right" w:pos="9638"/>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3BE638" w14:textId="77777777" w:rsidR="00D9750F" w:rsidRDefault="00000000">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sidR="000507C0">
      <w:rPr>
        <w:noProof/>
        <w:color w:val="000000"/>
      </w:rPr>
      <w:t>1</w:t>
    </w:r>
    <w:r>
      <w:rPr>
        <w:color w:val="000000"/>
      </w:rPr>
      <w:fldChar w:fldCharType="end"/>
    </w:r>
  </w:p>
  <w:p w14:paraId="69FBD2C6" w14:textId="77777777" w:rsidR="00D9750F" w:rsidRDefault="00D9750F">
    <w:pPr>
      <w:pBdr>
        <w:top w:val="nil"/>
        <w:left w:val="nil"/>
        <w:bottom w:val="nil"/>
        <w:right w:val="nil"/>
        <w:between w:val="nil"/>
      </w:pBdr>
      <w:tabs>
        <w:tab w:val="center" w:pos="4819"/>
        <w:tab w:val="right" w:pos="9638"/>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E4BE4C" w14:textId="77777777" w:rsidR="00851A74" w:rsidRDefault="00851A74">
      <w:r>
        <w:separator/>
      </w:r>
    </w:p>
  </w:footnote>
  <w:footnote w:type="continuationSeparator" w:id="0">
    <w:p w14:paraId="6DD4273C" w14:textId="77777777" w:rsidR="00851A74" w:rsidRDefault="00851A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D03A8"/>
    <w:multiLevelType w:val="multilevel"/>
    <w:tmpl w:val="E0ACB6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48842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50F"/>
    <w:rsid w:val="000507C0"/>
    <w:rsid w:val="002A0F2A"/>
    <w:rsid w:val="00851A74"/>
    <w:rsid w:val="009B682C"/>
    <w:rsid w:val="00D9750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42C42"/>
  <w15:docId w15:val="{F4E119AA-E49F-42ED-93F3-FAB864139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carnegieendowment.org/files/Kaffenberger_Cyber_Risk_Scenarios_final1.pdf" TargetMode="Externa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ydDkCMO0r21OL+KkNP2i9RCbwA==">AMUW2mUFatLKE5+tgGSiwmp4thCsfT6Z092iqfPZt73fM9fcMKF9Ic2CfYPdbPtgbFRYnb/+2ieWZC2N6+WEyyME6L8V7ZnuIlKgt5s7sdxvJmBNdTARRkA=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734</Words>
  <Characters>4186</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Kromer</cp:lastModifiedBy>
  <cp:revision>3</cp:revision>
  <dcterms:created xsi:type="dcterms:W3CDTF">2024-07-09T09:11:00Z</dcterms:created>
  <dcterms:modified xsi:type="dcterms:W3CDTF">2024-07-09T09:49:00Z</dcterms:modified>
</cp:coreProperties>
</file>