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4f6f9" w:val="clear"/>
          <w:rtl w:val="0"/>
        </w:rPr>
        <w:t xml:space="preserve">Daylight Strategy Basic Exit Checklist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Instrument:</w:t>
        <w:tab/>
        <w:tab/>
        <w:t xml:space="preserve">Timeframe: </w:t>
        <w:tab/>
        <w:tab/>
        <w:t xml:space="preserve">Date:</w:t>
        <w:tab/>
        <w:tab/>
        <w:t xml:space="preserve">Time: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8310"/>
        <w:gridCol w:w="255"/>
        <w:tblGridChange w:id="0">
          <w:tblGrid>
            <w:gridCol w:w="450"/>
            <w:gridCol w:w="8310"/>
            <w:gridCol w:w="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Exit when the red and blue MAs both start to slope in the opposite direction in the sub-window.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Exit when the red and green MAs cross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Exit when the red and blue MAs cross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Exit when you reach a set profit target (for example, a percentage of ADR or a multiple of ATR).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4f6f9" w:val="clear"/>
          <w:rtl w:val="0"/>
        </w:rPr>
        <w:t xml:space="preserve">Remarks: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4f6f9" w:val="clear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mfortaa Regula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