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B6FD1">
      <w:pPr>
        <w:spacing w:after="40"/>
      </w:pPr>
      <w:r>
        <w:rPr>
          <w:b/>
          <w:bCs/>
          <w:sz w:val="40"/>
          <w:szCs w:val="40"/>
        </w:rPr>
        <w:t>Dr.DocBench Challenge — Shared Task Proposal</w:t>
      </w:r>
    </w:p>
    <w:p w14:paraId="2B7FD4E3">
      <w:pPr>
        <w:spacing w:after="200"/>
      </w:pPr>
      <w:r>
        <w:rPr>
          <w:i/>
          <w:iCs/>
          <w:color w:val="555555"/>
        </w:rPr>
        <w:t>Proposed for DocInsights 2026, co-located with EMNLP 2026, Budapest</w:t>
      </w:r>
    </w:p>
    <w:p w14:paraId="6A47693C">
      <w:pPr>
        <w:pBdr>
          <w:bottom w:val="single" w:color="CCCCCC" w:sz="6" w:space="1"/>
        </w:pBdr>
        <w:spacing w:before="100" w:after="200"/>
      </w:pPr>
    </w:p>
    <w:p w14:paraId="49B3DD7C">
      <w:pPr>
        <w:pStyle w:val="2"/>
        <w:spacing w:before="240" w:after="120"/>
      </w:pPr>
      <w:r>
        <w:rPr>
          <w:b/>
          <w:bCs/>
          <w:color w:val="1A1A1A"/>
        </w:rPr>
        <w:t>Overview</w:t>
      </w:r>
    </w:p>
    <w:p w14:paraId="3990415E">
      <w:pPr>
        <w:spacing w:after="120" w:line="276" w:lineRule="auto"/>
      </w:pPr>
      <w:r>
        <w:t>Dr.DocBench is a difficulty-aware benchmark for expert-level document parsing, built from roughly 4,500 annotated pages across 52 subject domains. It targets exactly the gap DocInsights 2026 identifies in its call: current document AI systems look strong on existing benchmarks but fail once evaluated on genuinely difficult, expert-domain content — chemistry notation, dense tables, musical scores, and long, structurally complex documents.</w:t>
      </w:r>
    </w:p>
    <w:p w14:paraId="6AF14F46">
      <w:pPr>
        <w:spacing w:after="120" w:line="276" w:lineRule="auto"/>
      </w:pPr>
      <w:r>
        <w:t>We propose a two-track shared task built on Dr.DocBench, aligned directly with DocInsights' stated research themes, structured to reuse a proven challenge format (data release → submission window → leaderboard → results workshop) already run successfully by our team.</w:t>
      </w:r>
    </w:p>
    <w:p w14:paraId="2C93D1BD">
      <w:pPr>
        <w:pStyle w:val="2"/>
        <w:spacing w:before="240" w:after="120"/>
      </w:pPr>
      <w:r>
        <w:rPr>
          <w:b/>
          <w:bCs/>
          <w:color w:val="1A1A1A"/>
        </w:rPr>
        <w:t>Proposed Tracks</w:t>
      </w:r>
    </w:p>
    <w:tbl>
      <w:tblPr>
        <w:tblStyle w:val="9"/>
        <w:tblW w:w="10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200"/>
        <w:gridCol w:w="4000"/>
      </w:tblGrid>
      <w:tr w14:paraId="4741B86A">
        <w:trPr>
          <w:tblHeader/>
        </w:trPr>
        <w:tc>
          <w:tcPr>
            <w:tcW w:w="2200" w:type="dxa"/>
            <w:shd w:val="clear" w:color="auto" w:fill="2B2B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99330">
            <w:r>
              <w:rPr>
                <w:b/>
                <w:bCs/>
                <w:color w:val="FFFFFF"/>
              </w:rPr>
              <w:t>Track</w:t>
            </w:r>
          </w:p>
        </w:tc>
        <w:tc>
          <w:tcPr>
            <w:tcW w:w="4200" w:type="dxa"/>
            <w:shd w:val="clear" w:color="auto" w:fill="2B2B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DDBC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4000" w:type="dxa"/>
            <w:shd w:val="clear" w:color="auto" w:fill="2B2B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7774B">
            <w:r>
              <w:rPr>
                <w:b/>
                <w:bCs/>
                <w:color w:val="FFFFFF"/>
              </w:rPr>
              <w:t>Why it fits DocInsights</w:t>
            </w:r>
          </w:p>
        </w:tc>
      </w:tr>
      <w:tr w14:paraId="38A6824C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36A6A">
            <w:r>
              <w:rPr>
                <w:b/>
                <w:bCs/>
              </w:rPr>
              <w:t>Track 1
Document Parsing (Overall)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39300">
            <w:r>
              <w:t>End-to-end structured extraction from Dr.DocBench pages: text, tables, formulas, layout, and reading order, scored against the paper's composite Overall metric (Text Edit Distance, Table TEDS, Formula CDM).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19FD5">
            <w:r>
              <w:t>Maps to DocInsights themes: Structure-aware modeling; Evaluation and robustness. Flagship track — directly comparable to prior benchmark-driven shared tasks.</w:t>
            </w:r>
          </w:p>
        </w:tc>
      </w:tr>
      <w:tr w14:paraId="2E6FE2B4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20E5B">
            <w:r>
              <w:rPr>
                <w:b/>
                <w:bCs/>
              </w:rPr>
              <w:t>Track 2
Long-Document Robustness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DE1F6">
            <w:r>
              <w:t>Tests whether systems maintain accurate reading order and structure as document length grows, built on Dr.DocBench's finding that reading-orde</w:t>
            </w:r>
            <w:bookmarkStart w:id="0" w:name="_GoBack"/>
            <w:bookmarkEnd w:id="0"/>
            <w:r>
              <w:t>r accuracy degrades as the context window expands from 1 to 15 pages.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C8762">
            <w:r>
              <w:t>Maps to DocInsights theme: Long and cross-document intelligence. Distinct, uncontested angle — not covered by prior document-parsing challenges.</w:t>
            </w:r>
          </w:p>
        </w:tc>
      </w:tr>
    </w:tbl>
    <w:p w14:paraId="54212C94">
      <w:pPr>
        <w:spacing w:before="200"/>
      </w:pPr>
    </w:p>
    <w:p w14:paraId="433740BC">
      <w:pPr>
        <w:pStyle w:val="2"/>
        <w:spacing w:before="240" w:after="120"/>
      </w:pPr>
      <w:r>
        <w:rPr>
          <w:b/>
          <w:bCs/>
          <w:color w:val="1A1A1A"/>
        </w:rPr>
        <w:t>Why Two Tracks</w:t>
      </w:r>
    </w:p>
    <w:p w14:paraId="01BCE202">
      <w:pPr>
        <w:pStyle w:val="16"/>
        <w:numPr>
          <w:ilvl w:val="0"/>
          <w:numId w:val="1"/>
        </w:numPr>
        <w:spacing w:after="60" w:line="276" w:lineRule="auto"/>
      </w:pPr>
      <w:r>
        <w:t>Two tracks, keeps the task easy to run and easy for participants to enter within the available runway.</w:t>
      </w:r>
    </w:p>
    <w:p w14:paraId="31BF0551">
      <w:pPr>
        <w:pStyle w:val="16"/>
        <w:numPr>
          <w:ilvl w:val="0"/>
          <w:numId w:val="1"/>
        </w:numPr>
        <w:spacing w:after="60" w:line="276" w:lineRule="auto"/>
      </w:pPr>
      <w:r>
        <w:t>Both tracks map directly onto DocInsights' own listed themes</w:t>
      </w:r>
    </w:p>
    <w:p w14:paraId="1AE1169E">
      <w:pPr>
        <w:pStyle w:val="16"/>
        <w:numPr>
          <w:ilvl w:val="0"/>
          <w:numId w:val="1"/>
        </w:numPr>
        <w:spacing w:after="60" w:line="276" w:lineRule="auto"/>
      </w:pPr>
      <w:r>
        <w:t>Track 2 is deliberately novel: no existing document-parsing challenge currently benchmarks reading-order degradation over long documents, making it a distinctive addition to the workshop program rather than a repeat of prior shared tasks.</w:t>
      </w:r>
    </w:p>
    <w:p w14:paraId="5541F596">
      <w:pPr>
        <w:pStyle w:val="16"/>
        <w:numPr>
          <w:ilvl w:val="0"/>
          <w:numId w:val="1"/>
        </w:numPr>
        <w:spacing w:after="60" w:line="276" w:lineRule="auto"/>
      </w:pPr>
      <w:r>
        <w:t>A related, unsolved finding — no model currently outperforms a null baseline on sheet-music transcription — can be offered as an optional bonus “spotlight” challenge outside the two scored tracks, without expanding the core scope.</w:t>
      </w:r>
    </w:p>
    <w:p w14:paraId="1B0B6F31">
      <w:pPr>
        <w:pStyle w:val="16"/>
        <w:numPr>
          <w:numId w:val="0"/>
        </w:numPr>
        <w:spacing w:after="60" w:line="276" w:lineRule="auto"/>
      </w:pPr>
    </w:p>
    <w:p w14:paraId="5531EEB2">
      <w:pPr>
        <w:pStyle w:val="2"/>
        <w:spacing w:before="240" w:after="120"/>
      </w:pPr>
      <w:r>
        <w:rPr>
          <w:b/>
          <w:bCs/>
          <w:color w:val="1A1A1A"/>
        </w:rPr>
        <w:t>Format (proposed, reusing prior challenge infrastructure)</w:t>
      </w:r>
    </w:p>
    <w:p w14:paraId="696B48FE">
      <w:pPr>
        <w:spacing w:after="60" w:line="276" w:lineRule="auto"/>
      </w:pPr>
      <w:r>
        <w:rPr>
          <w:b/>
          <w:bCs/>
        </w:rPr>
        <w:t xml:space="preserve">Submission platform: </w:t>
      </w:r>
      <w:r>
        <w:t>EvalAI, with public validation leaderboard and private test-phase leaderboard</w:t>
      </w:r>
    </w:p>
    <w:p w14:paraId="6E569F23">
      <w:pPr>
        <w:spacing w:after="60" w:line="276" w:lineRule="auto"/>
      </w:pPr>
      <w:r>
        <w:rPr>
          <w:b/>
          <w:bCs/>
        </w:rPr>
        <w:t xml:space="preserve">Submission format: </w:t>
      </w:r>
      <w:r>
        <w:t>Per-document structured predictions matched to ground-truth IDs; exact spec to follow</w:t>
      </w:r>
    </w:p>
    <w:p w14:paraId="10E82075">
      <w:pPr>
        <w:spacing w:after="60" w:line="276" w:lineRule="auto"/>
      </w:pPr>
      <w:r>
        <w:rPr>
          <w:b/>
          <w:bCs/>
        </w:rPr>
        <w:t xml:space="preserve">Prizes: </w:t>
      </w:r>
      <w:r>
        <w:t>1st / 2nd / 3rd per track (proposed: $1,000 / $500 / $300, to be confirmed with sponsor)</w:t>
      </w:r>
    </w:p>
    <w:p w14:paraId="3321C0C9">
      <w:pPr>
        <w:spacing w:after="60" w:line="276" w:lineRule="auto"/>
      </w:pPr>
      <w:r>
        <w:rPr>
          <w:b/>
          <w:bCs/>
        </w:rPr>
        <w:t xml:space="preserve">Timeline: </w:t>
      </w:r>
      <w:r>
        <w:t>Aligned to DocInsights key dates — sample data release, submission window, and results ahead of the October 24–29 workshop</w:t>
      </w:r>
    </w:p>
    <w:p w14:paraId="1B3BFD88">
      <w:pPr>
        <w:pStyle w:val="2"/>
        <w:spacing w:before="240" w:after="120"/>
      </w:pPr>
      <w:r>
        <w:rPr>
          <w:b/>
          <w:bCs/>
          <w:color w:val="1A1A1A"/>
        </w:rPr>
        <w:t>Data Status</w:t>
      </w:r>
    </w:p>
    <w:p w14:paraId="12ECB29B">
      <w:pPr>
        <w:spacing w:after="120" w:line="276" w:lineRule="auto"/>
      </w:pPr>
      <w:r>
        <w:t>The evaluation harness is public and functional. A small public sample of Dr.DocBench pages and confirmation of the private held-out test set will follow on a committed timeline, to be finalized with the workshop organizers.</w:t>
      </w:r>
    </w:p>
    <w:p w14:paraId="6AD5E0E5">
      <w:pPr>
        <w:pStyle w:val="2"/>
        <w:spacing w:before="240" w:after="120"/>
      </w:pPr>
      <w:r>
        <w:rPr>
          <w:b/>
          <w:bCs/>
          <w:color w:val="1A1A1A"/>
        </w:rPr>
        <w:t>Next Steps</w:t>
      </w:r>
    </w:p>
    <w:p w14:paraId="65E611AE">
      <w:pPr>
        <w:pStyle w:val="16"/>
        <w:numPr>
          <w:ilvl w:val="0"/>
          <w:numId w:val="1"/>
        </w:numPr>
        <w:spacing w:after="60" w:line="276" w:lineRule="auto"/>
      </w:pPr>
      <w:r>
        <w:t>Confirm track scope and prize structure with sponsor.</w:t>
      </w:r>
    </w:p>
    <w:p w14:paraId="342D23D8">
      <w:pPr>
        <w:pStyle w:val="16"/>
        <w:numPr>
          <w:ilvl w:val="0"/>
          <w:numId w:val="1"/>
        </w:numPr>
        <w:spacing w:after="60" w:line="276" w:lineRule="auto"/>
      </w:pPr>
      <w:r>
        <w:t>Align on timeline with DocInsights organizers against the workshop's own key dates.</w:t>
      </w:r>
    </w:p>
    <w:p w14:paraId="46E25861">
      <w:pPr>
        <w:pStyle w:val="16"/>
        <w:numPr>
          <w:ilvl w:val="0"/>
          <w:numId w:val="1"/>
        </w:numPr>
        <w:spacing w:after="60" w:line="276" w:lineRule="auto"/>
      </w:pPr>
      <w:r>
        <w:t>Release sample data and finalize submission-format specification.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F7AD6"/>
    <w:multiLevelType w:val="singleLevel"/>
    <w:tmpl w:val="FDDF7AD6"/>
    <w:lvl w:ilvl="0" w:tentative="0">
      <w:start w:val="1"/>
      <w:numFmt w:val="bullet"/>
      <w:lvlText w:val="•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B7FBC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304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微信用户</cp:lastModifiedBy>
  <dcterms:modified xsi:type="dcterms:W3CDTF">2026-07-08T19:32:59Z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1033-12.1.24703.24703</vt:lpwstr>
  </property>
  <property fmtid="{D5CDD505-2E9C-101B-9397-08002B2CF9AE}" pid="3" name="ICV">
    <vt:lpwstr>71F6A066226196705B084F6AF6F22AC8_42</vt:lpwstr>
  </property>
</Properties>
</file>