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200" w:lineRule="atLeast"/>
        <w:jc w:val="center"/>
      </w:pPr>
      <w:r>
        <w:rPr>
          <w:rFonts w:ascii="Times New Roman" w:hAnsi="Times New Roman"/>
          <w:color w:val="auto"/>
          <w:sz w:val="36"/>
          <w:szCs w:val="36"/>
        </w:rPr>
        <w:t>Radiation in Japanese Culture During and After Fukushima: a Research Proposal</w:t>
      </w:r>
    </w:p>
    <w:p>
      <w:pPr>
        <w:pStyle w:val="style0"/>
        <w:spacing w:line="200" w:lineRule="atLeast"/>
        <w:jc w:val="center"/>
      </w:pPr>
      <w:r>
        <w:rPr>
          <w:rFonts w:ascii="Times New Roman" w:hAnsi="Times New Roman"/>
          <w:color w:val="auto"/>
        </w:rPr>
        <w:t>Mark “Aaron” Miller</w:t>
      </w:r>
    </w:p>
    <w:p>
      <w:pPr>
        <w:pStyle w:val="style0"/>
        <w:spacing w:line="200" w:lineRule="atLeast"/>
        <w:jc w:val="center"/>
      </w:pPr>
      <w:r>
        <w:rPr>
          <w:rFonts w:ascii="Times New Roman" w:hAnsi="Times New Roman"/>
          <w:color w:val="auto"/>
        </w:rPr>
        <w:t>Anth 2 – 11am section</w:t>
      </w:r>
    </w:p>
    <w:p>
      <w:pPr>
        <w:pStyle w:val="style0"/>
        <w:spacing w:line="200" w:lineRule="atLeast"/>
        <w:jc w:val="center"/>
      </w:pPr>
      <w:r>
        <w:rPr>
          <w:rFonts w:ascii="Times New Roman" w:hAnsi="Times New Roman"/>
          <w:color w:val="auto"/>
        </w:rPr>
        <w:t>29 July 2013</w:t>
      </w:r>
    </w:p>
    <w:p>
      <w:pPr>
        <w:pStyle w:val="style0"/>
        <w:spacing w:line="200" w:lineRule="atLeast"/>
        <w:jc w:val="center"/>
      </w:pPr>
      <w:r>
        <w:rPr>
          <w:color w:val="auto"/>
        </w:rPr>
      </w:r>
    </w:p>
    <w:p>
      <w:pPr>
        <w:pStyle w:val="style0"/>
        <w:spacing w:line="200" w:lineRule="atLeast"/>
        <w:jc w:val="left"/>
      </w:pPr>
      <w:r>
        <w:rPr>
          <w:rFonts w:ascii="Times New Roman" w:hAnsi="Times New Roman"/>
          <w:b/>
          <w:bCs/>
          <w:color w:val="auto"/>
        </w:rPr>
        <w:t>Abstract:</w:t>
      </w:r>
      <w:r>
        <w:rPr>
          <w:rFonts w:ascii="Times New Roman" w:hAnsi="Times New Roman"/>
          <w:b w:val="false"/>
          <w:bCs w:val="false"/>
          <w:color w:val="auto"/>
        </w:rPr>
        <w:t xml:space="preserve"> The 2011 Tohoku earthquake and tsunami </w:t>
      </w:r>
      <w:r>
        <w:rPr>
          <w:rFonts w:ascii="Times New Roman" w:hAnsi="Times New Roman"/>
          <w:b/>
          <w:bCs/>
          <w:color w:val="auto"/>
          <w:sz w:val="36"/>
          <w:szCs w:val="36"/>
        </w:rPr>
        <w:t>###</w:t>
      </w:r>
    </w:p>
    <w:p>
      <w:pPr>
        <w:pStyle w:val="style0"/>
        <w:spacing w:line="200" w:lineRule="atLeast"/>
        <w:jc w:val="left"/>
      </w:pPr>
      <w:r>
        <w:rPr>
          <w:color w:val="auto"/>
        </w:rPr>
      </w:r>
    </w:p>
    <w:p>
      <w:pPr>
        <w:pStyle w:val="style0"/>
        <w:pageBreakBefore/>
        <w:spacing w:line="480" w:lineRule="auto"/>
        <w:jc w:val="left"/>
      </w:pPr>
      <w:r>
        <w:rPr>
          <w:rFonts w:ascii="Times New Roman" w:hAnsi="Times New Roman"/>
          <w:b w:val="false"/>
          <w:bCs w:val="false"/>
          <w:color w:val="auto"/>
          <w:sz w:val="24"/>
          <w:szCs w:val="24"/>
        </w:rPr>
        <w:tab/>
        <w:t xml:space="preserve">In March 2011, the Fukushima Daiichi nuclear reactors released large amounts of radioactive isotopes into the environment of eastern Japan, as a consequence of the devastating Tohoku earthquake and tsunami; the amount of radioactive isotopes released was approximately one-tenth of that released by the Chernobyl event in 1986, and the contaminated area is also approximately one-tenth as large (von Hippel 2011). This environmental contamination has caused a cultural climate of fear and anxiety, as well as mistrust and anger directed at the </w:t>
      </w:r>
      <w:r>
        <w:rPr>
          <w:rFonts w:ascii="Times New Roman" w:hAnsi="Times New Roman"/>
          <w:b w:val="false"/>
          <w:bCs w:val="false"/>
          <w:color w:val="auto"/>
          <w:sz w:val="24"/>
          <w:szCs w:val="24"/>
        </w:rPr>
        <w:t>state and the owners of the nuclear reactors</w:t>
      </w:r>
      <w:r>
        <w:rPr>
          <w:rFonts w:ascii="Times New Roman" w:hAnsi="Times New Roman"/>
          <w:b w:val="false"/>
          <w:bCs w:val="false"/>
          <w:color w:val="auto"/>
          <w:sz w:val="24"/>
          <w:szCs w:val="24"/>
        </w:rPr>
        <w:t xml:space="preserve">, who seem to be viewed as mismanaging the disaster and failing to keep the public informed (###CITE?).  In search of information, many people turned to social media websites, such as Twitter </w:t>
      </w:r>
      <w:r>
        <w:rPr>
          <w:rFonts w:ascii="Times New Roman" w:hAnsi="Times New Roman"/>
          <w:b w:val="false"/>
          <w:bCs w:val="false"/>
          <w:color w:val="auto"/>
          <w:sz w:val="24"/>
          <w:szCs w:val="24"/>
        </w:rPr>
        <w:t>and Facebook</w:t>
      </w:r>
      <w:r>
        <w:rPr>
          <w:rFonts w:ascii="Times New Roman" w:hAnsi="Times New Roman"/>
          <w:b w:val="false"/>
          <w:bCs w:val="false"/>
          <w:color w:val="auto"/>
          <w:sz w:val="24"/>
          <w:szCs w:val="24"/>
        </w:rPr>
        <w:t xml:space="preserve">; in some cases, this provided </w:t>
      </w:r>
      <w:r>
        <w:rPr>
          <w:rFonts w:ascii="Times New Roman" w:hAnsi="Times New Roman"/>
          <w:b w:val="false"/>
          <w:bCs w:val="false"/>
          <w:color w:val="auto"/>
          <w:sz w:val="24"/>
          <w:szCs w:val="24"/>
        </w:rPr>
        <w:t xml:space="preserve">timely and </w:t>
      </w:r>
      <w:r>
        <w:rPr>
          <w:rFonts w:ascii="Times New Roman" w:hAnsi="Times New Roman"/>
          <w:b w:val="false"/>
          <w:bCs w:val="false"/>
          <w:color w:val="auto"/>
          <w:sz w:val="24"/>
          <w:szCs w:val="24"/>
        </w:rPr>
        <w:t xml:space="preserve">useful information on the disaster, but in other cases, </w:t>
      </w:r>
      <w:r>
        <w:rPr>
          <w:rFonts w:ascii="Times New Roman" w:hAnsi="Times New Roman"/>
          <w:b w:val="false"/>
          <w:bCs w:val="false"/>
          <w:color w:val="auto"/>
          <w:sz w:val="24"/>
          <w:szCs w:val="24"/>
        </w:rPr>
        <w:t>false rumors were quickly spread and then only later overtaken by truthful and accurate information (Kaigo 2012:32).</w:t>
      </w:r>
    </w:p>
    <w:p>
      <w:pPr>
        <w:pStyle w:val="style0"/>
        <w:spacing w:line="480" w:lineRule="auto"/>
        <w:jc w:val="left"/>
      </w:pPr>
      <w:r>
        <w:rPr>
          <w:rFonts w:ascii="Times New Roman" w:hAnsi="Times New Roman"/>
          <w:b w:val="false"/>
          <w:bCs w:val="false"/>
          <w:color w:val="auto"/>
          <w:sz w:val="24"/>
          <w:szCs w:val="24"/>
        </w:rPr>
        <w:tab/>
        <w:t>One of the economic consequences of the nuclear accident was contaminatio</w:t>
      </w:r>
      <w:r>
        <w:rPr>
          <w:rFonts w:ascii="Times New Roman" w:hAnsi="Times New Roman"/>
          <w:b w:val="false"/>
          <w:bCs w:val="false"/>
          <w:color w:val="auto"/>
          <w:sz w:val="24"/>
          <w:szCs w:val="24"/>
        </w:rPr>
        <w:t xml:space="preserve">n of produce and livestock in areas downwind of the radioactive isotope release.  The </w:t>
      </w:r>
      <w:r>
        <w:rPr>
          <w:rFonts w:ascii="Times New Roman" w:hAnsi="Times New Roman"/>
          <w:b w:val="false"/>
          <w:bCs w:val="false"/>
          <w:color w:val="auto"/>
          <w:sz w:val="24"/>
          <w:szCs w:val="24"/>
        </w:rPr>
        <w:t>state</w:t>
      </w:r>
      <w:r>
        <w:rPr>
          <w:rFonts w:ascii="Times New Roman" w:hAnsi="Times New Roman"/>
          <w:b w:val="false"/>
          <w:bCs w:val="false"/>
          <w:color w:val="auto"/>
          <w:sz w:val="24"/>
          <w:szCs w:val="24"/>
        </w:rPr>
        <w:t xml:space="preserve"> prevented their sale </w:t>
      </w:r>
      <w:r>
        <w:rPr>
          <w:rFonts w:ascii="Times New Roman" w:hAnsi="Times New Roman"/>
          <w:b w:val="false"/>
          <w:bCs w:val="false"/>
          <w:color w:val="auto"/>
          <w:sz w:val="24"/>
          <w:szCs w:val="24"/>
        </w:rPr>
        <w:t xml:space="preserve">to protect the public, </w:t>
      </w:r>
      <w:r>
        <w:rPr>
          <w:rFonts w:ascii="Times New Roman" w:hAnsi="Times New Roman"/>
          <w:b w:val="false"/>
          <w:bCs w:val="false"/>
          <w:color w:val="auto"/>
          <w:sz w:val="24"/>
          <w:szCs w:val="24"/>
        </w:rPr>
        <w:t xml:space="preserve">however the farmers were not compensated </w:t>
      </w:r>
      <w:r>
        <w:rPr>
          <w:rFonts w:ascii="Times New Roman" w:hAnsi="Times New Roman"/>
          <w:b w:val="false"/>
          <w:bCs w:val="false"/>
          <w:color w:val="auto"/>
          <w:sz w:val="24"/>
          <w:szCs w:val="24"/>
        </w:rPr>
        <w:t xml:space="preserve">for their losses </w:t>
      </w:r>
      <w:r>
        <w:rPr>
          <w:rFonts w:ascii="Times New Roman" w:hAnsi="Times New Roman"/>
          <w:b w:val="false"/>
          <w:bCs w:val="false"/>
          <w:color w:val="auto"/>
          <w:sz w:val="24"/>
          <w:szCs w:val="24"/>
        </w:rPr>
        <w:t>until several months later.  In April 2011, farmers protested in Tokyo with their cattle present to increase visibility of the protest, demanding compensation from TEPCO, the electric utility company that owned and operated the Fukushima Daiichi nuclear reactors (</w:t>
      </w:r>
      <w:r>
        <w:rPr>
          <w:rFonts w:ascii="Times New Roman" w:hAnsi="Times New Roman"/>
          <w:b w:val="false"/>
          <w:bCs w:val="false"/>
          <w:color w:val="auto"/>
          <w:sz w:val="24"/>
          <w:szCs w:val="24"/>
        </w:rPr>
        <w:t>###CITE).</w:t>
      </w:r>
    </w:p>
    <w:p>
      <w:pPr>
        <w:pStyle w:val="style0"/>
        <w:spacing w:line="480" w:lineRule="auto"/>
        <w:jc w:val="left"/>
      </w:pPr>
      <w:r>
        <w:rPr>
          <w:rFonts w:ascii="Times New Roman" w:hAnsi="Times New Roman"/>
          <w:b w:val="false"/>
          <w:bCs w:val="false"/>
          <w:color w:val="auto"/>
          <w:sz w:val="24"/>
          <w:szCs w:val="24"/>
        </w:rPr>
        <w:tab/>
        <w:t>Stratification plays a significant role in the cultural effects of the Fukushima accident. For example, radiation cannot be detected with human senses; instead, a Geiger counter is needed to detect radioactive contamination oneself or one's food or water</w:t>
      </w:r>
      <w:r>
        <w:rPr>
          <w:rFonts w:ascii="Ubuntu" w:cs="Ubuntu" w:eastAsia="Ubuntu" w:hAnsi="Ubuntu"/>
          <w:b w:val="false"/>
          <w:bCs w:val="false"/>
          <w:color w:val="auto"/>
          <w:sz w:val="24"/>
          <w:szCs w:val="24"/>
        </w:rPr>
        <w:t>—</w:t>
      </w:r>
      <w:r>
        <w:rPr>
          <w:rFonts w:ascii="Times New Roman" w:cs="Lohit Hindi" w:eastAsia="DejaVu Sans" w:hAnsi="Times New Roman"/>
          <w:b w:val="false"/>
          <w:bCs w:val="false"/>
          <w:color w:val="auto"/>
          <w:sz w:val="24"/>
          <w:szCs w:val="24"/>
        </w:rPr>
        <w:t xml:space="preserve">this is a significant expense for a working class person, such as a farmer. </w:t>
      </w:r>
      <w:r>
        <w:rPr>
          <w:rFonts w:ascii="Times New Roman" w:cs="Lohit Hindi" w:eastAsia="DejaVu Sans" w:hAnsi="Times New Roman"/>
          <w:b w:val="false"/>
          <w:bCs w:val="false"/>
          <w:color w:val="auto"/>
          <w:sz w:val="24"/>
          <w:szCs w:val="24"/>
        </w:rPr>
        <w:t xml:space="preserve">Geiger counters were found to be necessary, and </w:t>
      </w:r>
      <w:r>
        <w:rPr>
          <w:rFonts w:ascii="Times New Roman" w:cs="Lohit Hindi" w:eastAsia="DejaVu Sans" w:hAnsi="Times New Roman"/>
          <w:b w:val="false"/>
          <w:bCs w:val="false"/>
          <w:color w:val="auto"/>
          <w:sz w:val="24"/>
          <w:szCs w:val="24"/>
        </w:rPr>
        <w:t>so they were obtained despite the costs</w:t>
      </w:r>
      <w:r>
        <w:rPr>
          <w:rFonts w:ascii="Times New Roman" w:cs="Lohit Hindi" w:eastAsia="DejaVu Sans" w:hAnsi="Times New Roman"/>
          <w:b w:val="false"/>
          <w:bCs w:val="false"/>
          <w:color w:val="auto"/>
          <w:sz w:val="24"/>
          <w:szCs w:val="24"/>
        </w:rPr>
        <w:t xml:space="preserve"> </w:t>
      </w:r>
      <w:r>
        <w:rPr>
          <w:rFonts w:ascii="Times New Roman" w:cs="Lohit Hindi" w:eastAsia="DejaVu Sans" w:hAnsi="Times New Roman"/>
          <w:b w:val="false"/>
          <w:bCs w:val="false"/>
          <w:color w:val="auto"/>
          <w:sz w:val="24"/>
          <w:szCs w:val="24"/>
        </w:rPr>
        <w:t xml:space="preserve">(Ikegami 2012:155).  Ikegami also notes that  bureaucrats in the central and local governments discouraged lay persons from taking measurements with Geiger counters, ostensibly because of the unreliability; he draws comparison between this discouragement and the Soviet ban on personal usage of dosimeters around the Chernobyl accident, speculating that the true reason for this discouragement is to maintain the balance of power between the state and the public </w:t>
      </w:r>
      <w:r>
        <w:rPr>
          <w:rFonts w:ascii="Times New Roman" w:cs="Lohit Hindi" w:eastAsia="DejaVu Sans" w:hAnsi="Times New Roman"/>
          <w:b w:val="false"/>
          <w:bCs w:val="false"/>
          <w:color w:val="auto"/>
          <w:sz w:val="24"/>
          <w:szCs w:val="24"/>
        </w:rPr>
        <w:t>by controlling knowledge of contamination</w:t>
      </w:r>
      <w:r>
        <w:rPr>
          <w:rFonts w:ascii="Times New Roman" w:cs="Lohit Hindi" w:eastAsia="DejaVu Sans" w:hAnsi="Times New Roman"/>
          <w:b w:val="false"/>
          <w:bCs w:val="false"/>
          <w:color w:val="auto"/>
          <w:sz w:val="24"/>
          <w:szCs w:val="24"/>
        </w:rPr>
        <w:t xml:space="preserve"> (Ikegami 2012:155).</w:t>
      </w:r>
    </w:p>
    <w:p>
      <w:pPr>
        <w:pStyle w:val="style0"/>
        <w:spacing w:line="480" w:lineRule="auto"/>
        <w:jc w:val="left"/>
      </w:pPr>
      <w:r>
        <w:rPr>
          <w:rFonts w:ascii="Times New Roman" w:hAnsi="Times New Roman"/>
          <w:b/>
          <w:bCs/>
          <w:color w:val="auto"/>
          <w:sz w:val="32"/>
          <w:szCs w:val="32"/>
        </w:rPr>
        <w:t>Research Proposal</w:t>
      </w:r>
    </w:p>
    <w:p>
      <w:pPr>
        <w:pStyle w:val="style0"/>
        <w:spacing w:line="480" w:lineRule="auto"/>
        <w:jc w:val="left"/>
      </w:pPr>
      <w:r>
        <w:rPr>
          <w:rFonts w:ascii="Times New Roman" w:hAnsi="Times New Roman"/>
          <w:b w:val="false"/>
          <w:bCs w:val="false"/>
          <w:color w:val="auto"/>
          <w:sz w:val="28"/>
          <w:szCs w:val="28"/>
        </w:rPr>
        <w:t>Statement of Purpose</w:t>
      </w:r>
    </w:p>
    <w:p>
      <w:pPr>
        <w:pStyle w:val="style0"/>
        <w:spacing w:line="480" w:lineRule="auto"/>
        <w:jc w:val="left"/>
      </w:pPr>
      <w:r>
        <w:rPr>
          <w:rFonts w:ascii="Times New Roman" w:hAnsi="Times New Roman"/>
          <w:b w:val="false"/>
          <w:bCs w:val="false"/>
          <w:color w:val="auto"/>
          <w:sz w:val="24"/>
          <w:szCs w:val="24"/>
        </w:rPr>
        <w:tab/>
        <w:t>###</w:t>
      </w:r>
    </w:p>
    <w:p>
      <w:pPr>
        <w:pStyle w:val="style0"/>
        <w:spacing w:line="480" w:lineRule="auto"/>
        <w:jc w:val="left"/>
      </w:pPr>
      <w:r>
        <w:rPr>
          <w:rFonts w:ascii="Times New Roman" w:hAnsi="Times New Roman"/>
          <w:b w:val="false"/>
          <w:bCs w:val="false"/>
          <w:color w:val="auto"/>
          <w:sz w:val="28"/>
          <w:szCs w:val="28"/>
        </w:rPr>
        <w:t>Methods and Data</w:t>
      </w:r>
    </w:p>
    <w:p>
      <w:pPr>
        <w:pStyle w:val="style0"/>
        <w:spacing w:line="480" w:lineRule="auto"/>
        <w:jc w:val="left"/>
      </w:pPr>
      <w:r>
        <w:rPr>
          <w:rFonts w:ascii="Times New Roman" w:hAnsi="Times New Roman"/>
          <w:b w:val="false"/>
          <w:bCs w:val="false"/>
          <w:color w:val="auto"/>
          <w:sz w:val="24"/>
          <w:szCs w:val="24"/>
        </w:rPr>
        <w:tab/>
        <w:t>###</w:t>
      </w:r>
    </w:p>
    <w:p>
      <w:pPr>
        <w:pStyle w:val="style0"/>
        <w:spacing w:line="480" w:lineRule="auto"/>
        <w:jc w:val="left"/>
      </w:pPr>
      <w:r>
        <w:rPr>
          <w:rFonts w:ascii="Times New Roman" w:hAnsi="Times New Roman"/>
          <w:b w:val="false"/>
          <w:bCs w:val="false"/>
          <w:color w:val="auto"/>
          <w:sz w:val="28"/>
          <w:szCs w:val="28"/>
        </w:rPr>
        <w:t>Significance</w:t>
      </w:r>
    </w:p>
    <w:p>
      <w:pPr>
        <w:pStyle w:val="style0"/>
        <w:spacing w:line="480" w:lineRule="auto"/>
        <w:jc w:val="left"/>
      </w:pPr>
      <w:r>
        <w:rPr>
          <w:rFonts w:ascii="Times New Roman" w:hAnsi="Times New Roman"/>
          <w:b w:val="false"/>
          <w:bCs w:val="false"/>
          <w:color w:val="auto"/>
          <w:sz w:val="24"/>
          <w:szCs w:val="24"/>
        </w:rPr>
        <w:tab/>
        <w:t>###</w:t>
      </w:r>
    </w:p>
    <w:p>
      <w:pPr>
        <w:pStyle w:val="style0"/>
        <w:spacing w:line="480" w:lineRule="auto"/>
        <w:jc w:val="left"/>
      </w:pPr>
      <w:r>
        <w:rPr>
          <w:color w:val="auto"/>
        </w:rPr>
      </w:r>
    </w:p>
    <w:p>
      <w:pPr>
        <w:pStyle w:val="style0"/>
        <w:pageBreakBefore/>
        <w:spacing w:line="200" w:lineRule="atLeast"/>
        <w:jc w:val="center"/>
      </w:pPr>
      <w:r>
        <w:rPr>
          <w:color w:val="auto"/>
        </w:rPr>
      </w:r>
    </w:p>
    <w:p>
      <w:pPr>
        <w:pStyle w:val="style0"/>
        <w:spacing w:line="200" w:lineRule="atLeast"/>
        <w:jc w:val="center"/>
      </w:pPr>
      <w:r>
        <w:rPr>
          <w:rFonts w:ascii="Times New Roman" w:hAnsi="Times New Roman"/>
          <w:b w:val="false"/>
          <w:bCs w:val="false"/>
          <w:color w:val="auto"/>
          <w:sz w:val="24"/>
          <w:szCs w:val="24"/>
        </w:rPr>
        <w:t>Works Cited</w:t>
      </w:r>
    </w:p>
    <w:p>
      <w:pPr>
        <w:pStyle w:val="style0"/>
        <w:spacing w:line="200" w:lineRule="atLeast"/>
        <w:jc w:val="left"/>
      </w:pPr>
      <w:r>
        <w:rPr>
          <w:color w:val="auto"/>
        </w:rPr>
      </w:r>
    </w:p>
    <w:p>
      <w:pPr>
        <w:pStyle w:val="style0"/>
        <w:spacing w:line="200" w:lineRule="atLeast"/>
        <w:jc w:val="left"/>
      </w:pPr>
      <w:r>
        <w:rPr>
          <w:color w:val="auto"/>
        </w:rPr>
        <w:t>von Hippel 2011 ###</w:t>
      </w:r>
    </w:p>
    <w:p>
      <w:pPr>
        <w:pStyle w:val="style0"/>
        <w:spacing w:line="200" w:lineRule="atLeast"/>
        <w:jc w:val="left"/>
      </w:pPr>
      <w:r>
        <w:rPr>
          <w:color w:val="auto"/>
        </w:rPr>
      </w:r>
    </w:p>
    <w:p>
      <w:pPr>
        <w:pStyle w:val="style0"/>
        <w:spacing w:line="200" w:lineRule="atLeast"/>
        <w:jc w:val="left"/>
      </w:pPr>
      <w:r>
        <w:rPr>
          <w:color w:val="auto"/>
        </w:rPr>
        <w:t>Ikegami 2012 ###</w:t>
      </w:r>
    </w:p>
    <w:p>
      <w:pPr>
        <w:pStyle w:val="style0"/>
        <w:spacing w:line="200" w:lineRule="atLeast"/>
        <w:jc w:val="left"/>
      </w:pPr>
      <w:r>
        <w:rPr>
          <w:color w:val="auto"/>
        </w:rPr>
      </w:r>
    </w:p>
    <w:p>
      <w:pPr>
        <w:pStyle w:val="style0"/>
        <w:spacing w:line="200" w:lineRule="atLeast"/>
        <w:jc w:val="left"/>
      </w:pPr>
      <w:r>
        <w:rPr>
          <w:color w:val="auto"/>
        </w:rPr>
        <w:t>Kaigo 2012 ###</w:t>
      </w:r>
    </w:p>
    <w:sectPr>
      <w:headerReference r:id="rId2" w:type="default"/>
      <w:type w:val="nextPage"/>
      <w:pgSz w:h="15840" w:w="12240"/>
      <w:pgMar w:bottom="1440" w:footer="0" w:gutter="0" w:header="1080" w:left="1440" w:right="1440" w:top="165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pPr>
    <w:r>
      <w:rPr/>
      <w:t xml:space="preserve">Miller </w:t>
    </w:r>
    <w:r>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2013-07-28T01:04:55.00Z</dcterms:created>
  <cp:revision>0</cp:revision>
</cp:coreProperties>
</file>