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on Mars</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w:t>
      </w:r>
      <w:r>
        <w:rPr>
          <w:rFonts w:ascii="Times New Roman" w:hAnsi="Times New Roman"/>
          <w:b w:val="false"/>
          <w:bCs w:val="false"/>
          <w:color w:val="auto"/>
          <w:sz w:val="24"/>
          <w:szCs w:val="24"/>
        </w:rPr>
        <w:t>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 xml:space="preserve">The LR experiment </w:t>
      </w:r>
      <w:r>
        <w:rPr>
          <w:rFonts w:ascii="Times New Roman" w:hAnsi="Times New Roman"/>
          <w:b w:val="false"/>
          <w:bCs w:val="false"/>
          <w:i w:val="false"/>
          <w:caps w:val="false"/>
          <w:smallCaps w:val="false"/>
          <w:color w:val="auto"/>
          <w:spacing w:val="0"/>
          <w:sz w:val="24"/>
          <w:szCs w:val="24"/>
        </w:rPr>
        <w:t>(Figure 1)</w:t>
      </w:r>
      <w:r>
        <w:rPr>
          <w:rFonts w:ascii="Times New Roman" w:hAnsi="Times New Roman"/>
          <w:b w:val="false"/>
          <w:bCs w:val="false"/>
          <w:i w:val="false"/>
          <w:caps w:val="false"/>
          <w:smallCaps w:val="false"/>
          <w:color w:val="auto"/>
          <w:spacing w:val="0"/>
          <w:sz w:val="24"/>
          <w:szCs w:val="24"/>
        </w:rPr>
        <w:t xml:space="preserve"> </w:t>
      </w:r>
      <w:r>
        <w:rPr>
          <w:rFonts w:ascii="Times New Roman" w:hAnsi="Times New Roman"/>
          <w:b w:val="false"/>
          <w:bCs w:val="false"/>
          <w:i w:val="false"/>
          <w:caps w:val="false"/>
          <w:smallCaps w:val="false"/>
          <w:color w:val="auto"/>
          <w:spacing w:val="0"/>
          <w:sz w:val="24"/>
          <w:szCs w:val="24"/>
        </w:rPr>
        <w:t>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w:t>
      </w:r>
      <w:r>
        <w:rPr>
          <w:rFonts w:ascii="Times new roman" w:cs="Ubuntu" w:eastAsia="Ubuntu" w:hAnsi="Times new roman"/>
          <w:b w:val="false"/>
          <w:bCs w:val="false"/>
          <w:i w:val="false"/>
          <w:caps w:val="false"/>
          <w:smallCaps w:val="false"/>
          <w:color w:val="auto"/>
          <w:spacing w:val="0"/>
          <w:sz w:val="24"/>
          <w:szCs w:val="24"/>
        </w:rPr>
        <w:t>microbial life</w:t>
      </w:r>
      <w:r>
        <w:rPr>
          <w:rFonts w:ascii="Times new roman" w:cs="Ubuntu" w:eastAsia="Ubuntu" w:hAnsi="Times new roman"/>
          <w:b w:val="false"/>
          <w:bCs w:val="false"/>
          <w:i w:val="false"/>
          <w:caps w:val="false"/>
          <w:smallCaps w:val="false"/>
          <w:color w:val="auto"/>
          <w:spacing w:val="0"/>
          <w:sz w:val="24"/>
          <w:szCs w:val="24"/>
        </w:rPr>
        <w:t xml:space="preserve"> would presumably metabolize the nutrients and give off carbon dioxide containing carbon-14.  </w:t>
      </w:r>
      <w:r>
        <w:rPr>
          <w:rFonts w:ascii="Times new roman" w:cs="Ubuntu" w:eastAsia="Ubuntu" w:hAnsi="Times new roman"/>
          <w:b w:val="false"/>
          <w:bCs w:val="false"/>
          <w:i w:val="false"/>
          <w:caps w:val="false"/>
          <w:smallCaps w:val="false"/>
          <w:color w:val="auto"/>
          <w:spacing w:val="0"/>
          <w:sz w:val="24"/>
          <w:szCs w:val="24"/>
        </w:rPr>
        <w:t>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75</w:t>
      </w:r>
      <w:r>
        <w:rPr>
          <w:rFonts w:ascii="Times new roman" w:cs="Ubuntu" w:eastAsia="Ubuntu" w:hAnsi="Times new roman"/>
          <w:b w:val="false"/>
          <w:bCs w:val="false"/>
          <w:i w:val="false"/>
          <w:caps w:val="false"/>
          <w:smallCaps w:val="false"/>
          <w:color w:val="auto"/>
          <w:spacing w:val="0"/>
          <w:sz w:val="24"/>
          <w:szCs w:val="24"/>
        </w:rPr>
        <w:t xml:space="preserve"> </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There are problems with the interpretation of the Viking experiment results as being due to microorganisms.  One problem is that heating to 175 ⁰C does not entirely prevent the reaction,  and heating to only 90 ⁰C does not inhibit the reaction at all; this is inconsistent with reactions mediated by biology (Klein 1978).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Meteorites expelled from Mars by volcanism or impacts have been identified, and two of them have been reported to show evidence of biological exposure on Mars. One of these is ALH 84001.  In 1996, microscopic structures in the rock that appear to be fossils of microorganisms were identified (McKay et al, 1996).  </w:t>
      </w:r>
      <w:r>
        <w:rPr>
          <w:rFonts w:ascii="Times new roman" w:cs="Ubuntu" w:eastAsia="Ubuntu" w:hAnsi="Times new roman"/>
          <w:b w:val="false"/>
          <w:bCs w:val="false"/>
          <w:i w:val="false"/>
          <w:iCs w:val="false"/>
          <w:caps w:val="false"/>
          <w:smallCaps w:val="false"/>
          <w:color w:val="auto"/>
          <w:spacing w:val="0"/>
          <w:sz w:val="24"/>
          <w:szCs w:val="24"/>
        </w:rPr>
        <w:t>In addition, there are carbonate globules that must have formed in a wet environment, and are suggestive of biological activity (McKay et al, 1996).</w:t>
      </w:r>
    </w:p>
    <w:p>
      <w:pPr>
        <w:pStyle w:val="style0"/>
        <w:pageBreakBefore/>
        <w:spacing w:after="0" w:before="0" w:line="480" w:lineRule="auto"/>
        <w:contextualSpacing w:val="false"/>
        <w:jc w:val="left"/>
      </w:pPr>
      <w:r>
        <w:rPr>
          <w:color w:val="auto"/>
        </w:rPr>
      </w:r>
    </w:p>
    <w:p>
      <w:pPr>
        <w:pStyle w:val="style0"/>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1" simplePos="0">
            <wp:simplePos x="0" y="0"/>
            <wp:positionH relativeFrom="column">
              <wp:posOffset>1270</wp:posOffset>
            </wp:positionH>
            <wp:positionV relativeFrom="paragraph">
              <wp:posOffset>76835</wp:posOffset>
            </wp:positionV>
            <wp:extent cx="2239010" cy="366141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239010" cy="366141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xml:space="preserve">. Retrieved from </w:t>
      </w:r>
      <w:r>
        <w:rPr>
          <w:rFonts w:ascii="Times new roman" w:hAnsi="Times new roman"/>
          <w:b w:val="false"/>
          <w:i w:val="false"/>
          <w:iCs w:val="false"/>
          <w:caps w:val="false"/>
          <w:smallCaps w:val="false"/>
          <w:color w:val="auto"/>
          <w:spacing w:val="0"/>
          <w:sz w:val="24"/>
          <w:szCs w:val="24"/>
        </w:rPr>
        <w:t>http://www.exploremars.org/msl-picture-of-the-day-t-12-days-feet-on-mars-vikings</w:t>
      </w:r>
      <w:r>
        <w:rPr>
          <w:rFonts w:ascii="Times new roman" w:hAnsi="Times new roman"/>
          <w:b w:val="false"/>
          <w:i w:val="false"/>
          <w:iCs w:val="false"/>
          <w:caps w:val="false"/>
          <w:smallCaps w:val="false"/>
          <w:color w:val="auto"/>
          <w:spacing w:val="0"/>
          <w:sz w:val="24"/>
          <w:szCs w:val="24"/>
        </w:rPr>
        <w:t>.</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Formisano, V., Atreya, S., Encrenaz, T., Ignatiev, N., &amp; Giuranna, M. (2004). Detection of methane in the atmosphere of Mars.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306</w:t>
      </w:r>
      <w:r>
        <w:rPr>
          <w:rFonts w:ascii="Times new roman" w:hAnsi="Times new roman"/>
          <w:b w:val="false"/>
          <w:i w:val="false"/>
          <w:caps w:val="false"/>
          <w:smallCaps w:val="false"/>
          <w:color w:val="auto"/>
          <w:spacing w:val="0"/>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 S. (2012). Discovery of Biological Structures in the Tissint Mars Meteorite. </w:t>
      </w:r>
      <w:r>
        <w:rPr>
          <w:rFonts w:ascii="Times New Roman" w:hAnsi="Times New Roman"/>
          <w:b w:val="false"/>
          <w:i/>
          <w:caps w:val="false"/>
          <w:smallCaps w:val="false"/>
          <w:color w:val="auto"/>
          <w:spacing w:val="0"/>
          <w:sz w:val="24"/>
          <w:szCs w:val="24"/>
        </w:rPr>
        <w:t>J.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18</w:t>
      </w:r>
      <w:r>
        <w:rPr>
          <w:rFonts w:ascii="Times New Roman" w:hAnsi="Times New Roman"/>
          <w:b w:val="false"/>
          <w:i w:val="false"/>
          <w:caps w:val="false"/>
          <w:smallCaps w:val="false"/>
          <w:color w:val="auto"/>
          <w:spacing w:val="0"/>
          <w:sz w:val="24"/>
          <w:szCs w:val="24"/>
        </w:rPr>
        <w:t>, 8500-8505.</w:t>
      </w:r>
    </w:p>
    <w:sectPr>
      <w:headerReference r:id="rId3" w:type="default"/>
      <w:type w:val="nextPage"/>
      <w:pgSz w:h="15840" w:w="12240"/>
      <w:pgMar w:bottom="1440" w:footer="0" w:gutter="0" w:header="1138" w:left="1440" w:right="1440" w:top="1714"/>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