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jpeg" ContentType="image/jpeg"/>
  <Override PartName="/word/media/image1.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
    </w:p>
    <w:p>
      <w:pPr>
        <w:pStyle w:val="style0"/>
        <w:spacing w:after="0" w:before="0" w:line="115" w:lineRule="atLeast"/>
        <w:contextualSpacing w:val="false"/>
        <w:jc w:val="center"/>
      </w:pPr>
      <w:r>
        <w:rPr>
          <w:rFonts w:ascii="Times New Roman" w:hAnsi="Times New Roman"/>
          <w:color w:val="00000A"/>
          <w:sz w:val="32"/>
          <w:szCs w:val="32"/>
        </w:rPr>
        <w:t>The Prospects for Life Elsewhere in the Solar System</w:t>
      </w:r>
    </w:p>
    <w:p>
      <w:pPr>
        <w:pStyle w:val="style0"/>
        <w:spacing w:after="0" w:before="0" w:line="115" w:lineRule="atLeast"/>
        <w:contextualSpacing w:val="false"/>
        <w:jc w:val="center"/>
      </w:pPr>
      <w:r>
        <w:rPr>
          <w:rFonts w:ascii="Times New Roman" w:hAnsi="Times New Roman"/>
          <w:color w:val="00000A"/>
          <w:sz w:val="24"/>
          <w:szCs w:val="24"/>
        </w:rPr>
        <w:t>Mark “Aaron” Miller</w:t>
      </w:r>
    </w:p>
    <w:p>
      <w:pPr>
        <w:pStyle w:val="style0"/>
        <w:spacing w:after="0" w:before="0" w:line="115" w:lineRule="atLeast"/>
        <w:contextualSpacing w:val="false"/>
        <w:jc w:val="center"/>
      </w:pPr>
      <w:r>
        <w:rPr>
          <w:rFonts w:ascii="Times New Roman" w:hAnsi="Times New Roman"/>
          <w:color w:val="00000A"/>
          <w:sz w:val="24"/>
          <w:szCs w:val="24"/>
        </w:rPr>
        <w:t>Writ 109ST – 12:30pm section</w:t>
      </w:r>
    </w:p>
    <w:p>
      <w:pPr>
        <w:pStyle w:val="style0"/>
        <w:spacing w:after="0" w:before="0" w:line="115" w:lineRule="atLeast"/>
        <w:contextualSpacing w:val="false"/>
        <w:jc w:val="center"/>
      </w:pPr>
      <w:r>
        <w:rPr>
          <w:rFonts w:ascii="Times New Roman" w:hAnsi="Times New Roman"/>
          <w:color w:val="00000A"/>
          <w:sz w:val="24"/>
          <w:szCs w:val="24"/>
        </w:rPr>
        <w:t>August 2, 2013</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
    </w:p>
    <w:p>
      <w:pPr>
        <w:pStyle w:val="style0"/>
        <w:pageBreakBefore/>
        <w:spacing w:after="0" w:before="0" w:line="480" w:lineRule="auto"/>
        <w:contextualSpacing w:val="false"/>
        <w:jc w:val="left"/>
      </w:pPr>
      <w:r>
        <w:rPr>
          <w:rFonts w:ascii="Times New Roman" w:hAnsi="Times New Roman"/>
          <w:color w:val="00000A"/>
          <w:sz w:val="24"/>
          <w:szCs w:val="24"/>
        </w:rPr>
        <w:tab/>
        <w:t>In the later years of the 20</w:t>
      </w:r>
      <w:r>
        <w:rPr>
          <w:rFonts w:ascii="Times New Roman" w:hAnsi="Times New Roman"/>
          <w:color w:val="00000A"/>
          <w:sz w:val="24"/>
          <w:szCs w:val="24"/>
          <w:vertAlign w:val="superscript"/>
        </w:rPr>
        <w:t>th</w:t>
      </w:r>
      <w:r>
        <w:rPr>
          <w:rFonts w:ascii="Times New Roman" w:hAnsi="Times New Roman"/>
          <w:color w:val="00000A"/>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00000A"/>
          <w:sz w:val="28"/>
          <w:szCs w:val="28"/>
        </w:rPr>
        <w:t>Mars</w:t>
      </w:r>
    </w:p>
    <w:p>
      <w:pPr>
        <w:pStyle w:val="style0"/>
        <w:spacing w:after="0" w:before="0" w:line="480" w:lineRule="auto"/>
        <w:contextualSpacing w:val="false"/>
        <w:jc w:val="left"/>
      </w:pPr>
      <w:r>
        <w:rPr>
          <w:rFonts w:ascii="Times New Roman" w:hAnsi="Times New Roman"/>
          <w:b w:val="false"/>
          <w:bCs w:val="false"/>
          <w:color w:val="00000A"/>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00000A"/>
          <w:sz w:val="24"/>
          <w:szCs w:val="24"/>
        </w:rPr>
        <w:t>Viking</w:t>
      </w:r>
      <w:r>
        <w:rPr>
          <w:rFonts w:ascii="Times New Roman" w:hAnsi="Times New Roman"/>
          <w:b/>
          <w:bCs/>
          <w:color w:val="00000A"/>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00000A"/>
          <w:sz w:val="24"/>
          <w:szCs w:val="24"/>
        </w:rPr>
        <w:tab/>
        <w:t xml:space="preserve">The </w:t>
      </w:r>
      <w:r>
        <w:rPr>
          <w:rFonts w:ascii="Times New Roman" w:hAnsi="Times New Roman"/>
          <w:b w:val="false"/>
          <w:bCs w:val="false"/>
          <w:i/>
          <w:iCs/>
          <w:color w:val="00000A"/>
          <w:sz w:val="24"/>
          <w:szCs w:val="24"/>
        </w:rPr>
        <w:t>Viking</w:t>
      </w:r>
      <w:r>
        <w:rPr>
          <w:rFonts w:ascii="Times New Roman" w:hAnsi="Times New Roman"/>
          <w:b w:val="false"/>
          <w:bCs w:val="false"/>
          <w:color w:val="00000A"/>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00000A"/>
          <w:spacing w:val="0"/>
          <w:sz w:val="24"/>
          <w:szCs w:val="24"/>
        </w:rPr>
        <w:t xml:space="preserve">It was understood [before the </w:t>
      </w:r>
      <w:r>
        <w:rPr>
          <w:rFonts w:ascii="Times New Roman" w:hAnsi="Times New Roman"/>
          <w:b w:val="false"/>
          <w:bCs w:val="false"/>
          <w:i/>
          <w:iCs/>
          <w:caps w:val="false"/>
          <w:smallCaps w:val="false"/>
          <w:color w:val="00000A"/>
          <w:spacing w:val="0"/>
          <w:sz w:val="24"/>
          <w:szCs w:val="24"/>
        </w:rPr>
        <w:t>Viking</w:t>
      </w:r>
      <w:r>
        <w:rPr>
          <w:rFonts w:ascii="Times New Roman" w:hAnsi="Times New Roman"/>
          <w:b w:val="false"/>
          <w:bCs w:val="false"/>
          <w:i w:val="false"/>
          <w:caps w:val="false"/>
          <w:smallCaps w:val="false"/>
          <w:color w:val="00000A"/>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00000A"/>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00000A"/>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165</w:t>
      </w:r>
      <w:bookmarkStart w:id="0" w:name="__DdeLink__122_1425361097"/>
      <w:r>
        <w:rPr>
          <w:rFonts w:ascii="Times New Roman" w:cs="Ubuntu" w:eastAsia="Ubuntu" w:hAnsi="Times New Roman"/>
          <w:b w:val="false"/>
          <w:bCs w:val="false"/>
          <w:i w:val="false"/>
          <w:caps w:val="false"/>
          <w:smallCaps w:val="false"/>
          <w:color w:val="00000A"/>
          <w:spacing w:val="0"/>
          <w:sz w:val="24"/>
          <w:szCs w:val="24"/>
        </w:rPr>
        <w:t>⁰</w:t>
      </w:r>
      <w:bookmarkEnd w:id="0"/>
      <w:r>
        <w:rPr>
          <w:rFonts w:ascii="Times New Roman" w:cs="Ubuntu" w:eastAsia="Ubuntu" w:hAnsi="Times New Roman"/>
          <w:b w:val="false"/>
          <w:bCs w:val="false"/>
          <w:i w:val="false"/>
          <w:caps w:val="false"/>
          <w:smallCaps w:val="false"/>
          <w:color w:val="00000A"/>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00000A"/>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caps w:val="false"/>
          <w:smallCaps w:val="false"/>
          <w:color w:val="00000A"/>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00000A"/>
          <w:spacing w:val="0"/>
          <w:sz w:val="24"/>
          <w:szCs w:val="24"/>
        </w:rPr>
        <w:t>against</w:t>
      </w:r>
      <w:r>
        <w:rPr>
          <w:rFonts w:ascii="Times New Roman" w:cs="Ubuntu" w:eastAsia="Ubuntu" w:hAnsi="Times New Roman"/>
          <w:b w:val="false"/>
          <w:bCs w:val="false"/>
          <w:i w:val="false"/>
          <w:iCs w:val="false"/>
          <w:caps w:val="false"/>
          <w:smallCaps w:val="false"/>
          <w:color w:val="00000A"/>
          <w:spacing w:val="0"/>
          <w:sz w:val="24"/>
          <w:szCs w:val="24"/>
        </w:rPr>
        <w:t xml:space="preserve"> life, since microbes usually reproduce when given nutrients, so there would presumably be more microbes to produce carbon-14 dioxide when more of the nutrient broth is added.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To explain the seemingly inconsistent results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results on Earth using various non-living conditions have failed (Levin 2010). Although the possibility cannot be eliminated that there is some non-biological reaction responsible for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2008, when the Phoenix lander detected the presence of perchlorate ions (ClO</w:t>
      </w:r>
      <w:r>
        <w:rPr>
          <w:rFonts w:ascii="Times New Roman" w:cs="Ubuntu" w:eastAsia="Ubuntu" w:hAnsi="Times New Roman"/>
          <w:b w:val="false"/>
          <w:bCs w:val="false"/>
          <w:i w:val="false"/>
          <w:iCs w:val="false"/>
          <w:caps w:val="false"/>
          <w:smallCaps w:val="false"/>
          <w:color w:val="00000A"/>
          <w:spacing w:val="0"/>
          <w:sz w:val="24"/>
          <w:szCs w:val="24"/>
          <w:vertAlign w:val="subscript"/>
        </w:rPr>
        <w:t>4</w:t>
      </w:r>
      <w:r>
        <w:rPr>
          <w:rFonts w:ascii="Times New Roman" w:cs="Ubuntu" w:eastAsia="Ubuntu" w:hAnsi="Times New Roman"/>
          <w:b w:val="false"/>
          <w:bCs w:val="false"/>
          <w:i w:val="false"/>
          <w:iCs w:val="false"/>
          <w:caps w:val="false"/>
          <w:smallCaps w:val="false"/>
          <w:color w:val="00000A"/>
          <w:spacing w:val="0"/>
          <w:sz w:val="24"/>
          <w:szCs w:val="24"/>
          <w:vertAlign w:val="superscript"/>
        </w:rPr>
        <w:t>-</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this would destroy any organic material in the heating step that begins GCMS analysis, converting it to dichloromethane (Levin, 2010).  McKay has determined that “if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ab/>
        <w:t xml:space="preserve">The discovery of perchlorates is significant for two other reasons: perchlorate is not stable on the surface due to photochemical reactions, and perchlorate solutions can have a much lower freezing point than pure water, potentially allowing its use as an “anti-freeze” by extant Martian microorganisms (Enecrenaz et al., 2012).  The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 (Enecrenaz et al., 2012).  Mixtures of hydrogen peroxide and water can have freezing points as low as -56⁰C,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position w:val="0"/>
          <w:sz w:val="22"/>
          <w:sz w:val="24"/>
          <w:szCs w:val="24"/>
          <w:vertAlign w:val="baseline"/>
        </w:rPr>
        <w:t>Post-</w:t>
      </w:r>
      <w:r>
        <w:rPr>
          <w:rFonts w:ascii="Times New Roman" w:cs="Ubuntu" w:eastAsia="Ubuntu" w:hAnsi="Times New Roman"/>
          <w:b/>
          <w:bCs/>
          <w:i/>
          <w:iCs/>
          <w:caps w:val="false"/>
          <w:smallCaps w:val="false"/>
          <w:color w:val="00000A"/>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00000A"/>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ab/>
        <w:t xml:space="preserve">The European Space Agency's </w:t>
      </w:r>
      <w:r>
        <w:rPr>
          <w:rFonts w:ascii="Times New Roman" w:cs="Ubuntu" w:eastAsia="Ubuntu" w:hAnsi="Times New Roman"/>
          <w:b w:val="false"/>
          <w:bCs w:val="false"/>
          <w:i/>
          <w:iCs/>
          <w:caps w:val="false"/>
          <w:smallCaps w:val="false"/>
          <w:color w:val="00000A"/>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00000A"/>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The SNC class of meteorites have been identified as originating from Mars due to large impacts that caused Martian rock to escape the gravity of Mars and enter heliocentric orbit; to date, at least two of them have been reported to show evidence of biological exposure on Mars. One of these is ALH 84001 (Figure 2).  In 1996, microscopic structures in the rock that appear to be fossils of microorganisms were identified (McKay et al, 1996).  In addition, there are carbonate globules that must have formed in a wet environment at a temperature lower than 100⁰C, and are suggestive of biological activity (McKay et al, 1996).  Magnetite crystals have been identified in 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The hypothesized ocean would be in direct contact with a geologically active rocky surface (Figure 4), which could have hydrothermal vents with microorganisms, or even multicellular and macroscopic life, analogous to that which exists around hydrothermal vents in Earth's oceans.  At Europa's distance from the sun, a planet the size of Europa would not be able to sustain liquid water, but tidal heating from Europa's eccentricity is believed to liquid water and an active geology.  One requirement for life to develop is stability of the environment over geological time spans. This appears to be the case for Europa's sub-surface ocean, though its chemical composition has likely evolved since its formation (Greeley et al., 2009).  The chemical requirements for life, such as significant amounts of carbon, nitrogen, phosphorus, sulfur, and iron, are also believed to be met for Europa based on theories of its formation; chemical analysis of the ice surface would provide further evidence for this (Greeley et al., 2009).</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Titan, Saturn's largest moon, is also thought to have a sub-surface ocean, albeit with large amounts of ammonia. However, the most promising place to look for life is on the surface, where  methane and ethane play roles analogous to water on Earth, and could potentially be a solvent for a very different form of life.  At the average surface temperatures on Titan of 95 K, methane and ethane are liquids, and solid water is essentially another type of rock (McKay and Smith, 2005).  The European Space Agency's </w:t>
      </w:r>
      <w:r>
        <w:rPr>
          <w:rFonts w:ascii="Times New Roman" w:cs="Ubuntu" w:eastAsia="Ubuntu" w:hAnsi="Times New Roman"/>
          <w:b w:val="false"/>
          <w:bCs w:val="false"/>
          <w:i/>
          <w:iCs/>
          <w:caps w:val="false"/>
          <w:smallCaps w:val="false"/>
          <w:color w:val="00000A"/>
          <w:spacing w:val="0"/>
          <w:sz w:val="24"/>
          <w:szCs w:val="24"/>
        </w:rPr>
        <w:t>Cassini-Huygen</w:t>
      </w:r>
      <w:r>
        <w:rPr>
          <w:rFonts w:ascii="Times New Roman" w:cs="Ubuntu" w:eastAsia="Ubuntu" w:hAnsi="Times New Roman"/>
          <w:b w:val="false"/>
          <w:bCs w:val="false"/>
          <w:i w:val="false"/>
          <w:iCs w:val="false"/>
          <w:caps w:val="false"/>
          <w:smallCaps w:val="false"/>
          <w:color w:val="00000A"/>
          <w:spacing w:val="0"/>
          <w:sz w:val="24"/>
          <w:szCs w:val="24"/>
        </w:rPr>
        <w:t xml:space="preserve"> spacecraft, which included a lander component that sent back photographs from the surface (Figure 5), has detected lakes of methane-ethane on the surface; this liquid could possibly be a habitat for life with a biochemistry very different from Earth life.  Unfortunately, any life that exists would have a very slow reaction rate due to the low temperatures, and the lack of solubility of many organic substances (such as those produced by sunlight in the upper atmosphere) in liquid methane decreases the likelihood that liquid methane-based life could exist (McKay and Smith, 2005).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00000A"/>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no 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00000A"/>
          <w:spacing w:val="0"/>
          <w:sz w:val="24"/>
          <w:szCs w:val="24"/>
        </w:rPr>
        <w:t>Viking</w:t>
      </w:r>
      <w:r>
        <w:rPr>
          <w:rFonts w:ascii="Times New Roman" w:cs="Ubuntu" w:eastAsia="Ubuntu" w:hAnsi="Times New Roman"/>
          <w:b w:val="false"/>
          <w:bCs w:val="false"/>
          <w:i w:val="false"/>
          <w:iCs w:val="false"/>
          <w:caps w:val="false"/>
          <w:smallCaps w:val="false"/>
          <w:color w:val="00000A"/>
          <w:spacing w:val="0"/>
          <w:sz w:val="24"/>
          <w:szCs w:val="24"/>
        </w:rPr>
        <w:t xml:space="preserve"> landers, suggest that further exploration would be justified.  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00000A"/>
          <w:spacing w:val="0"/>
          <w:sz w:val="24"/>
          <w:szCs w:val="24"/>
        </w:rPr>
        <w:t>Voyager 2</w:t>
      </w:r>
      <w:r>
        <w:rPr>
          <w:rFonts w:ascii="Times New Roman" w:cs="Ubuntu" w:eastAsia="Ubuntu" w:hAnsi="Times New Roman"/>
          <w:b w:val="false"/>
          <w:bCs w:val="false"/>
          <w:i w:val="false"/>
          <w:iCs w:val="false"/>
          <w:caps w:val="false"/>
          <w:smallCaps w:val="false"/>
          <w:color w:val="00000A"/>
          <w:spacing w:val="0"/>
          <w:sz w:val="24"/>
          <w:szCs w:val="24"/>
        </w:rPr>
        <w:t xml:space="preserve"> and </w:t>
      </w:r>
      <w:r>
        <w:rPr>
          <w:rFonts w:ascii="Times New Roman" w:cs="Ubuntu" w:eastAsia="Ubuntu" w:hAnsi="Times New Roman"/>
          <w:b w:val="false"/>
          <w:bCs w:val="false"/>
          <w:i/>
          <w:iCs/>
          <w:caps w:val="false"/>
          <w:smallCaps w:val="false"/>
          <w:color w:val="00000A"/>
          <w:spacing w:val="0"/>
          <w:sz w:val="24"/>
          <w:szCs w:val="24"/>
        </w:rPr>
        <w:t>Galileo</w:t>
      </w:r>
      <w:r>
        <w:rPr>
          <w:rFonts w:ascii="Times New Roman" w:cs="Ubuntu" w:eastAsia="Ubuntu" w:hAnsi="Times New Roman"/>
          <w:b w:val="false"/>
          <w:bCs w:val="false"/>
          <w:i w:val="false"/>
          <w:iCs w:val="false"/>
          <w:caps w:val="false"/>
          <w:smallCaps w:val="false"/>
          <w:color w:val="00000A"/>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00000A"/>
          <w:spacing w:val="0"/>
          <w:sz w:val="24"/>
          <w:szCs w:val="24"/>
        </w:rPr>
        <w:t>Huygens</w:t>
      </w:r>
      <w:r>
        <w:rPr>
          <w:rFonts w:ascii="Times New Roman" w:cs="Ubuntu" w:eastAsia="Ubuntu" w:hAnsi="Times New Roman"/>
          <w:b w:val="false"/>
          <w:bCs w:val="false"/>
          <w:i w:val="false"/>
          <w:iCs w:val="false"/>
          <w:caps w:val="false"/>
          <w:smallCaps w:val="false"/>
          <w:color w:val="00000A"/>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00000A"/>
          <w:spacing w:val="0"/>
          <w:sz w:val="24"/>
          <w:szCs w:val="24"/>
        </w:rPr>
        <w:tab/>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00000A"/>
          <w:spacing w:val="0"/>
          <w:sz w:val="24"/>
          <w:szCs w:val="24"/>
        </w:rPr>
        <w:t>not</w:t>
      </w:r>
      <w:r>
        <w:rPr>
          <w:rFonts w:ascii="Times New Roman" w:cs="Ubuntu" w:eastAsia="Ubuntu" w:hAnsi="Times New Roman"/>
          <w:b w:val="false"/>
          <w:bCs w:val="false"/>
          <w:i w:val="false"/>
          <w:iCs w:val="false"/>
          <w:caps w:val="false"/>
          <w:smallCaps w:val="false"/>
          <w:color w:val="00000A"/>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r>
    </w:p>
    <w:p>
      <w:pPr>
        <w:pStyle w:val="style23"/>
        <w:spacing w:after="120" w:before="120"/>
        <w:contextualSpacing w:val="false"/>
      </w:pPr>
      <w:r>
        <w:rPr>
          <w:color w:val="00000A"/>
        </w:rPr>
        <w:t xml:space="preserve">Figure </w:t>
      </w:r>
      <w:r>
        <w:rPr>
          <w:color w:val="00000A"/>
        </w:rPr>
        <w:t>1</w:t>
      </w:r>
      <w:r>
        <w:rPr>
          <w:color w:val="00000A"/>
        </w:rPr>
        <w:t xml:space="preserve">: Labeled Release (LR) experiment of </w:t>
      </w:r>
      <w:r>
        <w:rPr>
          <w:i w:val="false"/>
          <w:iCs w:val="false"/>
          <w:color w:val="00000A"/>
        </w:rPr>
        <w:t>Viking</w:t>
      </w:r>
      <w:r>
        <w:rPr>
          <w:color w:val="00000A"/>
        </w:rPr>
        <w:t xml:space="preserve"> landers (artemis 2012).</w:t>
        <w:drawing>
          <wp:anchor allowOverlap="1" behindDoc="0" distB="0" distL="0" distR="0" distT="0" layoutInCell="1" locked="0" relativeHeight="0" simplePos="0">
            <wp:simplePos x="0" y="0"/>
            <wp:positionH relativeFrom="character">
              <wp:posOffset>-704215</wp:posOffset>
            </wp:positionH>
            <wp:positionV relativeFrom="line">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p>
    <w:p>
      <w:pPr>
        <w:pStyle w:val="style0"/>
        <w:pageBreakBefore/>
        <w:spacing w:after="0" w:before="0" w:line="480" w:lineRule="auto"/>
        <w:contextualSpacing w:val="false"/>
        <w:jc w:val="left"/>
      </w:pPr>
      <w:r>
        <w:rPr/>
      </w:r>
    </w:p>
    <w:p>
      <w:pPr>
        <w:pStyle w:val="style23"/>
        <w:spacing w:after="120" w:before="120"/>
        <w:contextualSpacing w:val="false"/>
      </w:pPr>
      <w:r>
        <w:rPr>
          <w:color w:val="00000A"/>
        </w:rPr>
        <w:t xml:space="preserve">Figure </w:t>
      </w:r>
      <w:r>
        <w:rPr>
          <w:color w:val="00000A"/>
        </w:rPr>
        <w:t>2</w:t>
      </w:r>
      <w:r>
        <w:rPr>
          <w:color w:val="00000A"/>
        </w:rPr>
        <w:t>: Electron micrograph of a section from the ALH84001 meteorite. The putative fossil is approximately 200nm in diameter (NASA).</w:t>
        <w:drawing>
          <wp:anchor allowOverlap="1" behindDoc="0" distB="0" distL="0" distR="0" distT="0" layoutInCell="1" locked="0" relativeHeight="1" simplePos="0">
            <wp:simplePos x="0" y="0"/>
            <wp:positionH relativeFrom="character">
              <wp:posOffset>1270</wp:posOffset>
            </wp:positionH>
            <wp:positionV relativeFrom="line">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p>
    <w:p>
      <w:pPr>
        <w:pStyle w:val="style0"/>
        <w:pageBreakBefore/>
        <w:spacing w:after="0" w:before="0" w:line="480" w:lineRule="auto"/>
        <w:contextualSpacing w:val="false"/>
        <w:jc w:val="left"/>
      </w:pPr>
      <w:r>
        <w:rPr/>
      </w:r>
    </w:p>
    <w:p>
      <w:pPr>
        <w:pStyle w:val="style23"/>
        <w:spacing w:after="120" w:before="120"/>
        <w:contextualSpacing w:val="false"/>
      </w:pPr>
      <w:r>
        <w:rPr/>
        <w:t xml:space="preserve">Figure </w:t>
      </w:r>
      <w:r>
        <w:rPr/>
        <w:t>3</w:t>
      </w:r>
      <w:r>
        <w:rPr/>
        <w:t>: Above: halite crusts in the Atacama Desert in Chile are habitats for cyanobacteria (inset), which absorb water from the air using perchlorates. Below: the bright regions of this section of the Martian surface are salt deposits which could serve as a similar habitat for Martian life (Enecrenaz et al., 2012).</w:t>
        <w:drawing>
          <wp:anchor allowOverlap="1" behindDoc="0" distB="0" distL="0" distR="0" distT="0" layoutInCell="1" locked="0" relativeHeight="2" simplePos="0">
            <wp:simplePos x="0" y="0"/>
            <wp:positionH relativeFrom="character">
              <wp:posOffset>1270</wp:posOffset>
            </wp:positionH>
            <wp:positionV relativeFrom="line">
              <wp:posOffset>76835</wp:posOffset>
            </wp:positionV>
            <wp:extent cx="4858385" cy="64801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858385" cy="6480175"/>
                    </a:xfrm>
                    <a:prstGeom prst="rect">
                      <a:avLst/>
                    </a:prstGeom>
                    <a:noFill/>
                    <a:ln w="9525">
                      <a:noFill/>
                      <a:miter lim="800000"/>
                      <a:headEnd/>
                      <a:tailEnd/>
                    </a:ln>
                  </pic:spPr>
                </pic:pic>
              </a:graphicData>
            </a:graphic>
          </wp:anchor>
        </w:drawing>
      </w:r>
    </w:p>
    <w:p>
      <w:pPr>
        <w:pStyle w:val="style0"/>
        <w:pageBreakBefore/>
        <w:spacing w:after="0" w:before="0" w:line="115" w:lineRule="atLeast"/>
        <w:contextualSpacing w:val="false"/>
        <w:jc w:val="left"/>
      </w:pPr>
      <w:r>
        <w:rPr/>
      </w:r>
    </w:p>
    <w:p>
      <w:pPr>
        <w:pStyle w:val="style23"/>
        <w:spacing w:after="120" w:before="120"/>
        <w:contextualSpacing w:val="false"/>
      </w:pPr>
      <w:r>
        <w:rPr>
          <w:color w:val="00000A"/>
        </w:rPr>
        <w:t xml:space="preserve">Figure </w:t>
      </w:r>
      <w:r>
        <w:rPr>
          <w:color w:val="00000A"/>
        </w:rPr>
        <w:t>4</w:t>
      </w:r>
      <w:r>
        <w:rPr>
          <w:color w:val="00000A"/>
        </w:rPr>
        <w:t>: Left: the proposed internal structure of Europa includes a metallic core, surrounded by a rocky interior in direct contact with a water layer. Right: based on studies of Europa's magnetic field, the water layer is believed to be liquid underneath (Source: NASA).</w:t>
        <w:drawing>
          <wp:anchor allowOverlap="1" behindDoc="0" distB="0" distL="0" distR="0" distT="0" layoutInCell="1" locked="0" relativeHeight="3" simplePos="0">
            <wp:simplePos x="0" y="0"/>
            <wp:positionH relativeFrom="character">
              <wp:posOffset>1270</wp:posOffset>
            </wp:positionH>
            <wp:positionV relativeFrom="line">
              <wp:posOffset>76835</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p>
    <w:p>
      <w:pPr>
        <w:pStyle w:val="style0"/>
        <w:pageBreakBefore/>
        <w:spacing w:after="0" w:before="0" w:line="115" w:lineRule="atLeast"/>
        <w:contextualSpacing w:val="false"/>
        <w:jc w:val="left"/>
      </w:pPr>
      <w:r>
        <w:rPr/>
      </w:r>
    </w:p>
    <w:p>
      <w:pPr>
        <w:pStyle w:val="style23"/>
        <w:spacing w:after="120" w:before="120"/>
        <w:contextualSpacing w:val="false"/>
      </w:pPr>
      <w:r>
        <w:rPr/>
        <w:t xml:space="preserve">Figure </w:t>
      </w:r>
      <w:r>
        <w:rPr/>
        <w:t>5</w:t>
      </w:r>
      <w:r>
        <w:rPr/>
        <w:t>: the surface of Titan, as captured by the Huygens lander in 2005 (Source: ESA/NASA/JPL/University of Arizona).</w:t>
        <w:drawing>
          <wp:anchor allowOverlap="1" behindDoc="0" distB="0" distL="0" distR="0" distT="0" layoutInCell="1" locked="0" relativeHeight="4" simplePos="0">
            <wp:simplePos x="0" y="0"/>
            <wp:positionH relativeFrom="character">
              <wp:posOffset>1270</wp:posOffset>
            </wp:positionH>
            <wp:positionV relativeFrom="line">
              <wp:posOffset>76835</wp:posOffset>
            </wp:positionV>
            <wp:extent cx="4305300" cy="7115810"/>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300" cy="7115810"/>
                    </a:xfrm>
                    <a:prstGeom prst="rect">
                      <a:avLst/>
                    </a:prstGeom>
                    <a:noFill/>
                    <a:ln w="9525">
                      <a:noFill/>
                      <a:miter lim="800000"/>
                      <a:headEnd/>
                      <a:tailEnd/>
                    </a:ln>
                  </pic:spPr>
                </pic:pic>
              </a:graphicData>
            </a:graphic>
          </wp:anchor>
        </w:drawing>
      </w:r>
    </w:p>
    <w:p>
      <w:pPr>
        <w:pStyle w:val="style0"/>
        <w:pageBreakBefore/>
        <w:spacing w:after="0" w:before="0" w:line="115" w:lineRule="atLeast"/>
        <w:contextualSpacing w:val="false"/>
        <w:jc w:val="center"/>
      </w:pPr>
      <w:r>
        <w:rPr>
          <w:rFonts w:ascii="Times New Roman" w:hAnsi="Times New Roman"/>
          <w:color w:val="00000A"/>
          <w:sz w:val="24"/>
          <w:szCs w:val="24"/>
        </w:rPr>
        <w:t>Works Cited</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 xml:space="preserve">artemis (2012, July 24). </w:t>
      </w:r>
      <w:r>
        <w:rPr>
          <w:rFonts w:ascii="Times New Roman" w:hAnsi="Times New Roman"/>
          <w:b w:val="false"/>
          <w:i/>
          <w:iCs/>
          <w:caps w:val="false"/>
          <w:smallCaps w:val="false"/>
          <w:color w:val="00000A"/>
          <w:spacing w:val="0"/>
          <w:sz w:val="24"/>
          <w:szCs w:val="24"/>
        </w:rPr>
        <w:t>MSL Picture of the Day: T-12 Days: Feet on Mars: Vikings</w:t>
      </w:r>
      <w:r>
        <w:rPr>
          <w:rFonts w:ascii="Times New Roman" w:hAnsi="Times New Roman"/>
          <w:b w:val="false"/>
          <w:i w:val="false"/>
          <w:iCs w:val="false"/>
          <w:caps w:val="false"/>
          <w:smallCaps w:val="false"/>
          <w:color w:val="00000A"/>
          <w:spacing w:val="0"/>
          <w:sz w:val="24"/>
          <w:szCs w:val="24"/>
        </w:rPr>
        <w:t>. Retrieved from http://www.exploremars.org/msl-picture-of-the-day-t-12-days-feet-on-mars-vikings.</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color w:val="00000A"/>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00000A"/>
          <w:sz w:val="24"/>
          <w:szCs w:val="24"/>
        </w:rPr>
        <w:t xml:space="preserve">methane in the atmosphere of Mars. </w:t>
      </w:r>
      <w:r>
        <w:rPr>
          <w:rFonts w:ascii="Times New Roman" w:hAnsi="Times New Roman"/>
          <w:i/>
          <w:iCs/>
          <w:color w:val="00000A"/>
          <w:sz w:val="24"/>
          <w:szCs w:val="24"/>
        </w:rPr>
        <w:t>Science</w:t>
      </w:r>
      <w:r>
        <w:rPr>
          <w:rFonts w:ascii="Times New Roman" w:hAnsi="Times New Roman"/>
          <w:color w:val="00000A"/>
          <w:sz w:val="24"/>
          <w:szCs w:val="24"/>
        </w:rPr>
        <w:t xml:space="preserve">, </w:t>
      </w:r>
      <w:r>
        <w:rPr>
          <w:rFonts w:ascii="Times New Roman" w:hAnsi="Times New Roman"/>
          <w:i/>
          <w:iCs/>
          <w:color w:val="00000A"/>
          <w:sz w:val="24"/>
          <w:szCs w:val="24"/>
        </w:rPr>
        <w:t>306</w:t>
      </w:r>
      <w:r>
        <w:rPr>
          <w:rFonts w:ascii="Times New Roman" w:hAnsi="Times New Roman"/>
          <w:color w:val="00000A"/>
          <w:sz w:val="24"/>
          <w:szCs w:val="24"/>
        </w:rPr>
        <w:t>(5702), 1758-1761.</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00000A"/>
          <w:spacing w:val="0"/>
          <w:sz w:val="24"/>
          <w:szCs w:val="24"/>
        </w:rPr>
        <w:t>Planetary and Space Science</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68</w:t>
      </w:r>
      <w:r>
        <w:rPr>
          <w:rFonts w:ascii="Times New Roman" w:hAnsi="Times New Roman"/>
          <w:b w:val="false"/>
          <w:i w:val="false"/>
          <w:caps w:val="false"/>
          <w:smallCaps w:val="false"/>
          <w:color w:val="00000A"/>
          <w:spacing w:val="0"/>
          <w:sz w:val="24"/>
          <w:szCs w:val="24"/>
        </w:rPr>
        <w:t>(1), 3-17.</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Greeley, R., Pappalardo, R. T., Prockter, L. M., Hendrix, A. R., &amp; Lock, R. E. (2009). Future exploration of Europa. </w:t>
      </w:r>
      <w:r>
        <w:rPr>
          <w:rFonts w:ascii="Times New Roman" w:hAnsi="Times New Roman"/>
          <w:b w:val="false"/>
          <w:i/>
          <w:caps w:val="false"/>
          <w:smallCaps w:val="false"/>
          <w:color w:val="00000A"/>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1</w:t>
      </w:r>
      <w:r>
        <w:rPr>
          <w:rFonts w:ascii="Times New Roman" w:hAnsi="Times New Roman"/>
          <w:b w:val="false"/>
          <w:i w:val="false"/>
          <w:caps w:val="false"/>
          <w:smallCaps w:val="false"/>
          <w:color w:val="00000A"/>
          <w:spacing w:val="0"/>
          <w:sz w:val="24"/>
          <w:szCs w:val="24"/>
        </w:rPr>
        <w:t>, 655.</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Klein, H. P. (1978). The Viking biological experiments on Mars. </w:t>
      </w:r>
      <w:r>
        <w:rPr>
          <w:rFonts w:ascii="Times New Roman" w:hAnsi="Times New Roman"/>
          <w:b w:val="false"/>
          <w:i/>
          <w:caps w:val="false"/>
          <w:smallCaps w:val="false"/>
          <w:color w:val="00000A"/>
          <w:spacing w:val="0"/>
          <w:sz w:val="24"/>
          <w:szCs w:val="24"/>
        </w:rPr>
        <w:t>Icarus</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34</w:t>
      </w:r>
      <w:r>
        <w:rPr>
          <w:rFonts w:ascii="Times New Roman" w:hAnsi="Times New Roman"/>
          <w:b w:val="false"/>
          <w:i w:val="false"/>
          <w:caps w:val="false"/>
          <w:smallCaps w:val="false"/>
          <w:color w:val="00000A"/>
          <w:spacing w:val="0"/>
          <w:sz w:val="24"/>
          <w:szCs w:val="24"/>
        </w:rPr>
        <w:t>(3), 666-674.</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Levin, G. V., &amp; Straat, P. A. (1988). A reappraisal of life on Mars. In </w:t>
      </w:r>
      <w:r>
        <w:rPr>
          <w:rFonts w:ascii="Times New Roman" w:hAnsi="Times New Roman"/>
          <w:b w:val="false"/>
          <w:i/>
          <w:caps w:val="false"/>
          <w:smallCaps w:val="false"/>
          <w:color w:val="00000A"/>
          <w:spacing w:val="0"/>
          <w:sz w:val="24"/>
          <w:szCs w:val="24"/>
        </w:rPr>
        <w:t>The NASA Mars Conference</w:t>
      </w:r>
      <w:r>
        <w:rPr>
          <w:rFonts w:ascii="Times New Roman" w:hAnsi="Times New Roman"/>
          <w:b w:val="false"/>
          <w:i w:val="false"/>
          <w:caps w:val="false"/>
          <w:smallCaps w:val="false"/>
          <w:color w:val="00000A"/>
          <w:spacing w:val="0"/>
          <w:sz w:val="24"/>
          <w:szCs w:val="24"/>
        </w:rPr>
        <w:t> (Vol. 1, pp. 187-208).</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Levin, G. V. (2010). Extant life on Mars: Resolving the issues. </w:t>
      </w:r>
      <w:r>
        <w:rPr>
          <w:rFonts w:ascii="Times New Roman" w:hAnsi="Times New Roman"/>
          <w:b w:val="false"/>
          <w:i/>
          <w:caps w:val="false"/>
          <w:smallCaps w:val="false"/>
          <w:color w:val="00000A"/>
          <w:spacing w:val="0"/>
          <w:sz w:val="24"/>
          <w:szCs w:val="24"/>
        </w:rPr>
        <w:t>Journal of Cosmology</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5</w:t>
      </w:r>
      <w:r>
        <w:rPr>
          <w:rFonts w:ascii="Times New Roman" w:hAnsi="Times New Roman"/>
          <w:b w:val="false"/>
          <w:i w:val="false"/>
          <w:caps w:val="false"/>
          <w:smallCaps w:val="false"/>
          <w:color w:val="00000A"/>
          <w:spacing w:val="0"/>
          <w:sz w:val="24"/>
          <w:szCs w:val="24"/>
        </w:rPr>
        <w:t>, 920-929.</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surface of Titan. Icarus, 178(1), 274-276.</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00000A"/>
          <w:spacing w:val="0"/>
          <w:sz w:val="24"/>
          <w:szCs w:val="24"/>
        </w:rPr>
        <w:t>Science</w:t>
      </w:r>
      <w:r>
        <w:rPr>
          <w:rFonts w:ascii="Times New Roman" w:hAnsi="Times New Roman"/>
          <w:b w:val="false"/>
          <w:i w:val="false"/>
          <w:caps w:val="false"/>
          <w:smallCaps w:val="false"/>
          <w:color w:val="00000A"/>
          <w:spacing w:val="0"/>
          <w:sz w:val="24"/>
          <w:szCs w:val="24"/>
        </w:rPr>
        <w:t>, </w:t>
      </w:r>
      <w:r>
        <w:rPr>
          <w:rFonts w:ascii="Times New Roman" w:hAnsi="Times New Roman"/>
          <w:b w:val="false"/>
          <w:i/>
          <w:caps w:val="false"/>
          <w:smallCaps w:val="false"/>
          <w:color w:val="00000A"/>
          <w:spacing w:val="0"/>
          <w:sz w:val="24"/>
          <w:szCs w:val="24"/>
        </w:rPr>
        <w:t>273</w:t>
      </w:r>
      <w:r>
        <w:rPr>
          <w:rFonts w:ascii="Times New Roman" w:hAnsi="Times New Roman"/>
          <w:b w:val="false"/>
          <w:i w:val="false"/>
          <w:caps w:val="false"/>
          <w:smallCaps w:val="false"/>
          <w:color w:val="00000A"/>
          <w:spacing w:val="0"/>
          <w:sz w:val="24"/>
          <w:szCs w:val="24"/>
        </w:rPr>
        <w:t>(5277), 924-930.</w:t>
      </w:r>
    </w:p>
    <w:p>
      <w:pPr>
        <w:pStyle w:val="style0"/>
        <w:spacing w:after="0" w:before="0" w:line="115" w:lineRule="atLeast"/>
        <w:contextualSpacing w:val="false"/>
        <w:jc w:val="left"/>
      </w:pPr>
      <w:r>
        <w:rPr/>
      </w:r>
    </w:p>
    <w:p>
      <w:pPr>
        <w:pStyle w:val="style0"/>
        <w:spacing w:after="0" w:before="0" w:line="115" w:lineRule="atLeast"/>
        <w:contextualSpacing w:val="false"/>
        <w:jc w:val="left"/>
      </w:pPr>
      <w:r>
        <w:rPr>
          <w:rFonts w:ascii="Times New Roman" w:hAnsi="Times New Roman"/>
          <w:b w:val="false"/>
          <w:i w:val="false"/>
          <w:caps w:val="false"/>
          <w:smallCaps w:val="false"/>
          <w:color w:val="00000A"/>
          <w:spacing w:val="0"/>
          <w:sz w:val="24"/>
          <w:szCs w:val="24"/>
        </w:rPr>
        <w:t>Plaxco, K. W., &amp; Gross, M. (2011). </w:t>
      </w:r>
      <w:r>
        <w:rPr>
          <w:rFonts w:ascii="Times New Roman" w:hAnsi="Times New Roman"/>
          <w:b w:val="false"/>
          <w:i/>
          <w:caps w:val="false"/>
          <w:smallCaps w:val="false"/>
          <w:color w:val="00000A"/>
          <w:spacing w:val="0"/>
          <w:sz w:val="24"/>
          <w:szCs w:val="24"/>
        </w:rPr>
        <w:t>Astrobiology: a brief introduction</w:t>
      </w:r>
      <w:r>
        <w:rPr>
          <w:rFonts w:ascii="Times New Roman" w:hAnsi="Times New Roman"/>
          <w:b w:val="false"/>
          <w:i w:val="false"/>
          <w:caps w:val="false"/>
          <w:smallCaps w:val="false"/>
          <w:color w:val="00000A"/>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16384"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15</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