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96.png" ContentType="image/png"/>
  <Override PartName="/word/media/image95.png" ContentType="image/png"/>
  <Override PartName="/word/media/image94.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i/>
          <w:iCs/>
          <w:color w:val="auto"/>
          <w:sz w:val="24"/>
          <w:szCs w:val="24"/>
        </w:rPr>
        <w:t>Viking</w:t>
      </w:r>
      <w:r>
        <w:rPr>
          <w:rFonts w:ascii="Times New Roman" w:hAnsi="Times New Roman"/>
          <w:b/>
          <w:bCs/>
          <w:color w:val="auto"/>
          <w:sz w:val="24"/>
          <w:szCs w:val="24"/>
        </w:rPr>
        <w:t xml:space="preserve">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The </w:t>
      </w:r>
      <w:r>
        <w:rPr>
          <w:rFonts w:ascii="Times New Roman" w:hAnsi="Times New Roman"/>
          <w:b w:val="false"/>
          <w:bCs w:val="false"/>
          <w:i/>
          <w:iCs/>
          <w:color w:val="auto"/>
          <w:sz w:val="24"/>
          <w:szCs w:val="24"/>
        </w:rPr>
        <w:t>Viking</w:t>
      </w:r>
      <w:r>
        <w:rPr>
          <w:rFonts w:ascii="Times New Roman" w:hAnsi="Times New Roman"/>
          <w:b w:val="false"/>
          <w:bCs w:val="false"/>
          <w:color w:val="auto"/>
          <w:sz w:val="24"/>
          <w:szCs w:val="24"/>
        </w:rPr>
        <w:t xml:space="preserve">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 xml:space="preserve">It was understood [before the </w:t>
      </w:r>
      <w:r>
        <w:rPr>
          <w:rFonts w:ascii="Times New Roman" w:hAnsi="Times New Roman"/>
          <w:b w:val="false"/>
          <w:bCs w:val="false"/>
          <w:i/>
          <w:iCs/>
          <w:caps w:val="false"/>
          <w:smallCaps w:val="false"/>
          <w:color w:val="auto"/>
          <w:spacing w:val="0"/>
          <w:sz w:val="24"/>
          <w:szCs w:val="24"/>
        </w:rPr>
        <w:t>Viking</w:t>
      </w:r>
      <w:r>
        <w:rPr>
          <w:rFonts w:ascii="Times New Roman" w:hAnsi="Times New Roman"/>
          <w:b w:val="false"/>
          <w:bCs w:val="false"/>
          <w:i w:val="false"/>
          <w:caps w:val="false"/>
          <w:smallCaps w:val="false"/>
          <w:color w:val="auto"/>
          <w:spacing w:val="0"/>
          <w:sz w:val="24"/>
          <w:szCs w:val="24"/>
        </w:rPr>
        <w:t xml:space="preserve">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caps w:val="false"/>
          <w:smallCaps w:val="false"/>
          <w:color w:val="auto"/>
          <w:spacing w:val="0"/>
          <w:sz w:val="24"/>
          <w:szCs w:val="24"/>
        </w:rPr>
        <w:t xml:space="preserve">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To explain the seemingly inconsistent results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biology experiments, it has been proposed that there are three oxidants in Martian soil: superoxides, hydrogen peroxide, and a third, unknown oxidant (Klein, 1978).  However, Levin notes that all attempts to replicate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on Earth using various non-living conditions have failed (Levin ###YEAR?###). The possibility cannot be eliminated that there is some non-biological reaction responsible for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that has simply not been tested by experts on Earth; the absence of a non-biological explanation lends credibility to the idea that the results are biological in nature.</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discovery of perchlorates is significant for two other reasons: perchlorate is not stable on the surface due to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photochemical reactions, and perchlorate solutions can have a much lower freezing point than pure water, potentially allowing its use as an “anti-freeze” by extant Martian microorganisms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(Enecrenaz et al., 2012).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Gas Exchange (GEx) experiment detected a large release of oxygen upon addition of water to Martian soil; this has been difficult to explain using either biology or non-biological chemistry, but the decomposition of hydrogen peroxide would produce the same effect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(Enecrenaz et al., 2012).  Mixtures of hydrogen peroxide and water can have freezing points as low as -56</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⁰</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 and so could have a similar biological function as perchlorates in allowing microorganisms to have liquid cytoplasms at very low temperatures (Enecrenaz et al., 2012).  In addition, the perchlorate-rich hyperarid Atacama Desert has microbes living under the soil that use perchlorates to extract water from the air; Martian life may perchlorates for this purpose (Figure 3; Enecrenaz et al., 2012).</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position w:val="0"/>
          <w:sz w:val="22"/>
          <w:sz w:val="24"/>
          <w:szCs w:val="24"/>
          <w:vertAlign w:val="baseline"/>
        </w:rPr>
        <w:t>Post-</w:t>
      </w:r>
      <w:r>
        <w:rPr>
          <w:rFonts w:ascii="Times new roman" w:cs="Ubuntu" w:eastAsia="Ubuntu" w:hAnsi="Times new roman"/>
          <w:b/>
          <w:bCs/>
          <w:i/>
          <w:iCs/>
          <w:caps w:val="false"/>
          <w:smallCaps w:val="false"/>
          <w:color w:val="auto"/>
          <w:spacing w:val="0"/>
          <w:position w:val="0"/>
          <w:sz w:val="22"/>
          <w:sz w:val="24"/>
          <w:szCs w:val="24"/>
          <w:vertAlign w:val="baseline"/>
        </w:rPr>
        <w:t>Viking</w:t>
      </w:r>
      <w:r>
        <w:rPr>
          <w:rFonts w:ascii="Times new roman" w:cs="Ubuntu" w:eastAsia="Ubuntu" w:hAnsi="Times new roman"/>
          <w:b/>
          <w:bCs/>
          <w:i w:val="false"/>
          <w:iCs w:val="false"/>
          <w:caps w:val="false"/>
          <w:smallCaps w:val="false"/>
          <w:color w:val="auto"/>
          <w:spacing w:val="0"/>
          <w:position w:val="0"/>
          <w:sz w:val="22"/>
          <w:sz w:val="24"/>
          <w:szCs w:val="24"/>
          <w:vertAlign w:val="baseline"/>
        </w:rPr>
        <w:t xml:space="preserve"> exploration of Mars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t xml:space="preserve">After the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last of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landers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ceased communication</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there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were no successful landers for another 17 years.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Pathfinder</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1997###</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European Space Agency's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Mars Express</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orbiter, in orbit since late 2003, has detected methane in the Martian atmosphere in concentrations ranging from 0 to 30 parts per billion by volume (ppbv) (Formisano et al., 2004).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Although non-biological explanations have been proposed, such as a slow release from underground methane reservoirs (originally present due to hydrothermal activity) or cometary impacts, a reasonable possibility is that organisms living in underground aquifers are metabolizing carbon monoxide and hydrogen gas from the atmosphere to form methane, which then leaks up into the atmosphere (Formisano et al., 2004).  Considering methane's relatively short half life (on the order of hundreds of years) in the Martian atmosphere, the methane production or release must be relatively continuous, with an average rate of production or release of about 126 tons per year (Formisano et al., 2004).  Another interesting characteristic of this detected methane is that it is not uniform over the surface, suggesting an active source, active sink, or both (Formisano et al., 2004).</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bookmarkStart w:id="1" w:name="__DdeLink__147_1279146795"/>
      <w:r>
        <w:rPr>
          <w:rFonts w:ascii="Times new roman" w:cs="Ubuntu" w:eastAsia="Ubuntu" w:hAnsi="Times new roman"/>
          <w:b w:val="false"/>
          <w:bCs w:val="false"/>
          <w:i w:val="false"/>
          <w:iCs w:val="false"/>
          <w:caps w:val="false"/>
          <w:smallCaps w:val="false"/>
          <w:color w:val="auto"/>
          <w:spacing w:val="0"/>
          <w:sz w:val="24"/>
          <w:szCs w:val="24"/>
        </w:rPr>
        <w:t>⁰</w:t>
      </w:r>
      <w:bookmarkEnd w:id="1"/>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Icy outer moons</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Europa, Jupiter's fourth largest moon, has much stronger evidence for liquid water than does Mars; surprisingly, it may have more liquid water than does the Earth.  Unfortunately for astrobiologists, this water is below a thick (~10km) ice sheet, and so accessibility is a significant problem.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w:t>
      </w:r>
      <w:r>
        <w:rPr>
          <w:rFonts w:ascii="Times new roman" w:cs="Ubuntu" w:eastAsia="Ubuntu" w:hAnsi="Times new roman"/>
          <w:b w:val="false"/>
          <w:bCs w:val="false"/>
          <w:i w:val="false"/>
          <w:iCs w:val="false"/>
          <w:caps w:val="false"/>
          <w:smallCaps w:val="false"/>
          <w:color w:val="auto"/>
          <w:spacing w:val="0"/>
          <w:sz w:val="24"/>
          <w:szCs w:val="24"/>
        </w:rPr>
        <w:t xml:space="preserve">xperiment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landers, suggest that </w:t>
      </w:r>
      <w:r>
        <w:rPr>
          <w:rFonts w:ascii="Times new roman" w:cs="Ubuntu" w:eastAsia="Ubuntu" w:hAnsi="Times new roman"/>
          <w:b w:val="false"/>
          <w:bCs w:val="false"/>
          <w:i w:val="false"/>
          <w:iCs w:val="false"/>
          <w:caps w:val="false"/>
          <w:smallCaps w:val="false"/>
          <w:color w:val="auto"/>
          <w:spacing w:val="0"/>
          <w:sz w:val="24"/>
          <w:szCs w:val="24"/>
        </w:rPr>
        <w:t xml:space="preserve">further exploration would be justified.  </w:t>
      </w:r>
      <w:r>
        <w:rPr>
          <w:rFonts w:ascii="Times new roman" w:cs="Ubuntu" w:eastAsia="Ubuntu" w:hAnsi="Times new roman"/>
          <w:b w:val="false"/>
          <w:bCs w:val="false"/>
          <w:i w:val="false"/>
          <w:iCs w:val="false"/>
          <w:caps w:val="false"/>
          <w:smallCaps w:val="false"/>
          <w:color w:val="auto"/>
          <w:spacing w:val="0"/>
          <w:sz w:val="24"/>
          <w:szCs w:val="24"/>
        </w:rPr>
        <w:t>In some ways, robotic exploration is no substitute for manned exploration, which can avoid the communications delay inherent in the remote operation of landers by controllers on Earth.</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-704850</wp:posOffset>
            </wp:positionH>
            <wp:positionV relativeFrom="paragraph">
              <wp:posOffset>76835</wp:posOffset>
            </wp:positionV>
            <wp:extent cx="2508250" cy="481774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08250" cy="481774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xml:space="preserve">: Labeled Release (LR) experiment of </w:t>
      </w:r>
      <w:r>
        <w:rPr>
          <w:i w:val="false"/>
          <w:iCs w:val="false"/>
          <w:color w:val="auto"/>
        </w:rPr>
        <w:t>Viking</w:t>
      </w:r>
      <w:r>
        <w:rPr>
          <w:color w:val="auto"/>
        </w:rPr>
        <w:t xml:space="preserve">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6" simplePos="0">
            <wp:simplePos x="0" y="0"/>
            <wp:positionH relativeFrom="column">
              <wp:posOffset>1270</wp:posOffset>
            </wp:positionH>
            <wp:positionV relativeFrom="paragraph">
              <wp:posOffset>76835</wp:posOffset>
            </wp:positionV>
            <wp:extent cx="4858385" cy="648017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858385" cy="648017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3</w:t>
      </w:r>
      <w:r>
        <w:fldChar w:fldCharType="end"/>
      </w:r>
      <w:r>
        <w:rPr/>
        <w:t xml:space="preserve">: Above: halite crusts in the Atacama Desert in Chile are habitats for cyanobacteria (inset), which absorb water from the air using perchlorates. Below: the bright regions </w:t>
      </w:r>
      <w:r>
        <w:rPr/>
        <w:t>of this section of the Martian surface</w:t>
      </w:r>
      <w:r>
        <w:rPr/>
        <w:t xml:space="preserve"> are salt deposits which could serve as a similar habitat for Martian life (Enecrenaz et al.,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Encrenaz, T., Greathouse, T. K., Lefèvre, F., &amp; Atreya, S. K. (2012). Hydrogen peroxide on Mars: Observations, interpretation and future plans. </w:t>
      </w:r>
      <w:r>
        <w:rPr>
          <w:rFonts w:ascii="Times New Roman" w:hAnsi="Times New Roman"/>
          <w:b w:val="false"/>
          <w:i/>
          <w:caps w:val="false"/>
          <w:smallCaps w:val="false"/>
          <w:color w:val="auto"/>
          <w:spacing w:val="0"/>
          <w:sz w:val="24"/>
          <w:szCs w:val="24"/>
        </w:rPr>
        <w:t>Planetary and Space 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68</w:t>
      </w:r>
      <w:r>
        <w:rPr>
          <w:rFonts w:ascii="Times New Roman" w:hAnsi="Times New Roman"/>
          <w:b w:val="false"/>
          <w:i w:val="false"/>
          <w:caps w:val="false"/>
          <w:smallCaps w:val="false"/>
          <w:color w:val="auto"/>
          <w:spacing w:val="0"/>
          <w:sz w:val="24"/>
          <w:szCs w:val="24"/>
        </w:rPr>
        <w:t>(1), 3-17.</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5"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12</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4.gif"/><Relationship Id="rId3" Type="http://schemas.openxmlformats.org/officeDocument/2006/relationships/image" Target="media/image95.png"/><Relationship Id="rId4" Type="http://schemas.openxmlformats.org/officeDocument/2006/relationships/image" Target="media/image96.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