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Task 2 – Threats and vulnerabilities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16" w:lineRule="auto"/>
        <w:ind w:left="540" w:hanging="22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Go to the symantec website link below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before="112" w:line="216" w:lineRule="auto"/>
        <w:ind w:left="1170" w:hanging="170"/>
        <w:rPr>
          <w:sz w:val="36"/>
          <w:szCs w:val="36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36"/>
            <w:szCs w:val="36"/>
            <w:u w:val="single"/>
            <w:rtl w:val="0"/>
          </w:rPr>
          <w:t xml:space="preserve">http://www.symantec.com/security_response/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128" w:line="216" w:lineRule="auto"/>
        <w:ind w:left="810" w:hanging="41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threats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tab and identify 5 threats and find out how they operate/ how they work.</w:t>
      </w:r>
    </w:p>
    <w:p w:rsidR="00000000" w:rsidDel="00000000" w:rsidP="00000000" w:rsidRDefault="00000000" w:rsidRPr="00000000" w14:paraId="00000006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7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1) Trojan Danabot.B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008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a Trojan horse that steals information from the compromised computer.</w:t>
      </w:r>
    </w:p>
    <w:p w:rsidR="00000000" w:rsidDel="00000000" w:rsidP="00000000" w:rsidRDefault="00000000" w:rsidRPr="00000000" w14:paraId="00000009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Ransom.Hermeslgen3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0B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a heuristic detection used to detect threats associated with the ransom hermes family of threats.</w:t>
      </w:r>
    </w:p>
    <w:p w:rsidR="00000000" w:rsidDel="00000000" w:rsidP="00000000" w:rsidRDefault="00000000" w:rsidRPr="00000000" w14:paraId="0000000C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3)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Trojan.Betabot.B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0E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a Trojan horse that steals information from the compromised computer.</w:t>
      </w:r>
    </w:p>
    <w:p w:rsidR="00000000" w:rsidDel="00000000" w:rsidP="00000000" w:rsidRDefault="00000000" w:rsidRPr="00000000" w14:paraId="0000000F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4)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SONAR.SuspScript!g20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a heuristic detection for suspicious script launches.</w:t>
      </w:r>
    </w:p>
    <w:p w:rsidR="00000000" w:rsidDel="00000000" w:rsidP="00000000" w:rsidRDefault="00000000" w:rsidRPr="00000000" w14:paraId="00000012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5)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Packed.Generic.534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14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a heuristic detection for files that may have been obtained or encrypted in order to conceal them from antivirus software.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128" w:line="216" w:lineRule="auto"/>
        <w:ind w:left="810" w:hanging="41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vulnerabilities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tab and identify 5 vulnerabilities create a table of risk, date discovered and describe what was recommended for the affected software.</w:t>
      </w:r>
    </w:p>
    <w:p w:rsidR="00000000" w:rsidDel="00000000" w:rsidP="00000000" w:rsidRDefault="00000000" w:rsidRPr="00000000" w14:paraId="00000016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115"/>
        <w:gridCol w:w="2040"/>
        <w:gridCol w:w="3120"/>
        <w:tblGridChange w:id="0">
          <w:tblGrid>
            <w:gridCol w:w="2535"/>
            <w:gridCol w:w="2115"/>
            <w:gridCol w:w="204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Date Discovered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Recommendation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Microsoft.NET CVE-2018-8292 Information Disclosure Vulnerability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Block external access at the network boundary.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Windows NTFS CVE-2018-8411 Local privilege Escalation Vulnerability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 local access for trusted individuals only. Where possible, use restricted environment and restricted shells.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Windows DNS CVE-2018-8320 Security Bypass 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 privileged access for trusted individuals only.Where possible, use restricted environment and restricted shells.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Windows DirectX CVE-2018-8486 Information Disclosure 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Communicate sensitive information through secur means.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Windows Kernel 'Win32k.sys' CVE-2018-8453 Local Privilege Escalation 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 privileged access for trusted individuals only.Where possible, use restricted environment and restricted shells.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1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ymantec.com/security_respo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