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Unit 6 - Assignment 1 (Passes) 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Devise project aims and objectives for a chosen scenario.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need to produce a short report for this (500 words maximum).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P1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Produce a project management plan using MS Project  for your chosen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scenario that covers aspects of cost, scope, time, quality, communication, risk and resources.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Produce a work breakdown structure and a Gantt Chart to provide timeframes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stages for completion using MS Project.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P3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1 (Date due 16/1/19)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Carry out small-scale research by applying qualitative or quantitative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research methods appropriate for meeting your chosen scenario’s project aims and objectives.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is important to recognise that project work is reliant on gathering information/data that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be analysed. The scale of the project means that there must be time for both primary and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secondary research. An advised model would be to use secondary research as this will help you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conduct and interpret primary data collection. The project could then yield data/information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that could be compared with the findings of secondary research information.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Should you decide to choose primary data, you may use data collection tools such interviews and questionnaires.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Evidence - list of resources which you have consulted and gathered the data from.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P4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Task 1 (Date due 30/1/19)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Analyse research and data using appropriate tools and techniques.  This can be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done using graphs and charts to show trend analysis, coding or typologies.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P5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Communicate appropriate recommendations as a result of your project research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data analysis to draw valid and meaningful conclusions.  This needs to be presented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logically, where the assumption is that the audience has little or no knowledge of the project process.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Evidence - submit the presentation with notes on classroom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P6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Task 1 (Date due 26/3/19)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Reflect on the value of undertaking the research to meet stated objectives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own learning and performance. This is a written reflection of around 500 words.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 the Performance Review Template (can be found at the end of the assignment) to help you with this task.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Criteria P7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shd w:fill="ffd966" w:val="clear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