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VLan Commands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Show vlan command 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Show vlan brief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Procedure for S1,2,3  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Vlan 10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 faculty/staff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Vlan 20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Name student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Configuring interfaces 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interface fastEthernet 0/11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switchport access vlan 10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VLan Trunk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interface range gigabitEthernet   0-1/2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switchport trunk native vlan 99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Show interfaces trunk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Show vlan brief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Pc 1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Ping pc 1 to pc 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Cli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Config 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Interface gigabitEthernet 0/0.10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encapsulation dot1Q 10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Ip address 172.17.10.1 255.255.255.0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Interface gigabitEthernet 0/0.30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encapsulation dot1Q 30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Ip address 172.17.30.1 255.255.255.0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“Ctrl c”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Config 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Interface gigabitEthernet 0/0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“Ctrl c”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Show ip interface brief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Translation stop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Ctrl + 6 + shift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Show vlan brief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Config t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Interface gigabitEthernet 0/1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Switchport mode trunk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“Ctrl c”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Show vlan brief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