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E-Commerce Website Design</w:t>
      </w:r>
    </w:p>
    <w:p w:rsidR="00000000" w:rsidDel="00000000" w:rsidP="00000000" w:rsidRDefault="00000000" w:rsidRPr="00000000" w14:paraId="00000002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 -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sz w:val="24"/>
          <w:szCs w:val="24"/>
          <w:rtl w:val="0"/>
        </w:rPr>
        <w:t xml:space="preserve">This report will be discussing the design and functionality of the E-Commerce solution. It will also examine the strategies employed and the impact of E-Commerce on business organisations.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Homepage Design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1182" cy="628173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182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7888" cy="7797516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7797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Product Pop-up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6328" cy="33194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328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Item Added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9538" cy="361270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61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Payment Box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225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Payment Accepted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75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Donation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98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Donation Successful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924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Social Medias 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5056" cy="50006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056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 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conclusion, this report will be discusses the design and functionality of the E-Commerce solution. It will also examine the strategies employed and the impact of E-Commerce on business organisations.</w:t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Name : Aaron Mascarenhas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Unit  36 : E-Commerce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