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936EC" w14:textId="77777777" w:rsidR="00256011" w:rsidRPr="00041113" w:rsidRDefault="00EB5968">
      <w:pPr>
        <w:rPr>
          <w:rFonts w:ascii="Cambria" w:hAnsi="Cambria"/>
        </w:rPr>
      </w:pPr>
      <w:r w:rsidRPr="00041113">
        <w:rPr>
          <w:rFonts w:ascii="Cambria" w:hAnsi="Cambria"/>
        </w:rPr>
        <w:t>Aaron M. Chesler</w:t>
      </w:r>
    </w:p>
    <w:p w14:paraId="280CC6F7" w14:textId="77777777" w:rsidR="00EB5968" w:rsidRPr="00041113" w:rsidRDefault="00EB5968">
      <w:pPr>
        <w:rPr>
          <w:rFonts w:ascii="Cambria" w:hAnsi="Cambria"/>
        </w:rPr>
      </w:pPr>
      <w:r w:rsidRPr="00041113">
        <w:rPr>
          <w:rFonts w:ascii="Cambria" w:hAnsi="Cambria"/>
        </w:rPr>
        <w:t>09/01/2016</w:t>
      </w:r>
    </w:p>
    <w:p w14:paraId="0D39B34C" w14:textId="77777777" w:rsidR="00EB5968" w:rsidRPr="00041113" w:rsidRDefault="00EB5968">
      <w:pPr>
        <w:rPr>
          <w:rFonts w:ascii="Cambria" w:hAnsi="Cambria"/>
        </w:rPr>
      </w:pPr>
      <w:r w:rsidRPr="00041113">
        <w:rPr>
          <w:rFonts w:ascii="Cambria" w:hAnsi="Cambria"/>
        </w:rPr>
        <w:t>Think Ground</w:t>
      </w:r>
    </w:p>
    <w:p w14:paraId="79A01B9C" w14:textId="77777777" w:rsidR="00EB5968" w:rsidRPr="00041113" w:rsidRDefault="00EB5968">
      <w:pPr>
        <w:rPr>
          <w:rFonts w:ascii="Cambria" w:hAnsi="Cambria"/>
          <w:u w:val="single"/>
        </w:rPr>
      </w:pPr>
    </w:p>
    <w:p w14:paraId="0E5027EF" w14:textId="77777777" w:rsidR="00EB5968" w:rsidRPr="00041113" w:rsidRDefault="00EB5968">
      <w:pPr>
        <w:rPr>
          <w:rFonts w:ascii="Cambria" w:hAnsi="Cambria"/>
          <w:u w:val="single"/>
        </w:rPr>
      </w:pPr>
      <w:r w:rsidRPr="00041113">
        <w:rPr>
          <w:rFonts w:ascii="Cambria" w:hAnsi="Cambria"/>
          <w:u w:val="single"/>
        </w:rPr>
        <w:t xml:space="preserve">Guiding Questions </w:t>
      </w:r>
    </w:p>
    <w:p w14:paraId="3418C3D5" w14:textId="77777777" w:rsidR="00EB5968" w:rsidRPr="00041113" w:rsidRDefault="00EB5968" w:rsidP="00EB596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41113">
        <w:rPr>
          <w:rFonts w:ascii="Cambria" w:hAnsi="Cambria"/>
        </w:rPr>
        <w:t>Which of the major party presidential candidates are more negative?</w:t>
      </w:r>
    </w:p>
    <w:p w14:paraId="351D8B36" w14:textId="77777777" w:rsidR="00EB5968" w:rsidRPr="00041113" w:rsidRDefault="00EB5968" w:rsidP="00EB596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41113">
        <w:rPr>
          <w:rFonts w:ascii="Cambria" w:hAnsi="Cambria"/>
        </w:rPr>
        <w:t>How receptive are people to negativity?</w:t>
      </w:r>
    </w:p>
    <w:p w14:paraId="49725F5F" w14:textId="77777777" w:rsidR="00EB5968" w:rsidRPr="00041113" w:rsidRDefault="00EB5968" w:rsidP="00EB596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41113">
        <w:rPr>
          <w:rFonts w:ascii="Cambria" w:hAnsi="Cambria"/>
        </w:rPr>
        <w:t>When are the candidates negative?</w:t>
      </w:r>
    </w:p>
    <w:p w14:paraId="43C1A7AA" w14:textId="77777777" w:rsidR="00EB5968" w:rsidRPr="00041113" w:rsidRDefault="00EB5968" w:rsidP="00EB5968">
      <w:pPr>
        <w:rPr>
          <w:rFonts w:ascii="Cambria" w:hAnsi="Cambria"/>
        </w:rPr>
      </w:pPr>
    </w:p>
    <w:p w14:paraId="7749EAAA" w14:textId="77777777" w:rsidR="00EB5968" w:rsidRPr="00041113" w:rsidRDefault="00EB5968" w:rsidP="00EB5968">
      <w:pPr>
        <w:rPr>
          <w:rFonts w:ascii="Cambria" w:hAnsi="Cambria"/>
          <w:u w:val="single"/>
        </w:rPr>
      </w:pPr>
      <w:r w:rsidRPr="00041113">
        <w:rPr>
          <w:rFonts w:ascii="Cambria" w:hAnsi="Cambria"/>
          <w:u w:val="single"/>
        </w:rPr>
        <w:t>Lit Review</w:t>
      </w:r>
    </w:p>
    <w:p w14:paraId="69BC67A7" w14:textId="77777777" w:rsidR="00EB5968" w:rsidRPr="00041113" w:rsidRDefault="00EB5968" w:rsidP="00EB5968">
      <w:pPr>
        <w:rPr>
          <w:rFonts w:ascii="Cambria" w:hAnsi="Cambria"/>
        </w:rPr>
      </w:pPr>
      <w:r w:rsidRPr="00041113">
        <w:rPr>
          <w:rFonts w:ascii="Cambria" w:hAnsi="Cambria"/>
        </w:rPr>
        <w:tab/>
        <w:t xml:space="preserve">This paper will look at both </w:t>
      </w:r>
      <w:r w:rsidRPr="00041113">
        <w:rPr>
          <w:rFonts w:ascii="Cambria" w:hAnsi="Cambria"/>
          <w:b/>
        </w:rPr>
        <w:t>campaign negativity</w:t>
      </w:r>
      <w:r w:rsidRPr="00041113">
        <w:rPr>
          <w:rFonts w:ascii="Cambria" w:hAnsi="Cambria"/>
        </w:rPr>
        <w:t xml:space="preserve"> and the use of </w:t>
      </w:r>
      <w:r w:rsidRPr="00041113">
        <w:rPr>
          <w:rFonts w:ascii="Cambria" w:hAnsi="Cambria"/>
          <w:b/>
        </w:rPr>
        <w:t>new media in campaigns</w:t>
      </w:r>
      <w:r w:rsidRPr="00041113">
        <w:rPr>
          <w:rFonts w:ascii="Cambria" w:hAnsi="Cambria"/>
        </w:rPr>
        <w:t>. The sources for this lit review will therefore be divided into these categories and described in each section.</w:t>
      </w:r>
    </w:p>
    <w:p w14:paraId="7BE16115" w14:textId="77777777" w:rsidR="00EB5968" w:rsidRPr="00041113" w:rsidRDefault="00EB5968" w:rsidP="00EB5968">
      <w:pPr>
        <w:rPr>
          <w:rFonts w:ascii="Cambria" w:hAnsi="Cambria"/>
        </w:rPr>
      </w:pPr>
    </w:p>
    <w:p w14:paraId="105666A8" w14:textId="77777777" w:rsidR="00EB5968" w:rsidRPr="00041113" w:rsidRDefault="00EB5968" w:rsidP="00EB5968">
      <w:pPr>
        <w:rPr>
          <w:rFonts w:ascii="Cambria" w:hAnsi="Cambria"/>
          <w:b/>
        </w:rPr>
      </w:pPr>
      <w:r w:rsidRPr="00041113">
        <w:rPr>
          <w:rFonts w:ascii="Cambria" w:hAnsi="Cambria"/>
          <w:b/>
        </w:rPr>
        <w:t>Campaign Negativity</w:t>
      </w:r>
    </w:p>
    <w:p w14:paraId="5DACF09A" w14:textId="77777777" w:rsidR="00A92229" w:rsidRPr="00041113" w:rsidRDefault="00A92229" w:rsidP="00EB5968">
      <w:pPr>
        <w:rPr>
          <w:rFonts w:ascii="Cambria" w:hAnsi="Cambria"/>
        </w:rPr>
      </w:pPr>
    </w:p>
    <w:p w14:paraId="4E973F47" w14:textId="77777777" w:rsidR="00A92229" w:rsidRPr="00040819" w:rsidRDefault="00A92229" w:rsidP="00EB5968">
      <w:pPr>
        <w:rPr>
          <w:rFonts w:ascii="Cambria" w:hAnsi="Cambria"/>
          <w:b/>
        </w:rPr>
      </w:pPr>
      <w:r w:rsidRPr="00040819">
        <w:rPr>
          <w:rFonts w:ascii="Cambria" w:hAnsi="Cambria"/>
          <w:b/>
        </w:rPr>
        <w:t xml:space="preserve">Geer, John Gray. </w:t>
      </w:r>
      <w:r w:rsidRPr="00040819">
        <w:rPr>
          <w:rFonts w:ascii="Cambria" w:hAnsi="Cambria"/>
          <w:b/>
          <w:i/>
        </w:rPr>
        <w:t xml:space="preserve">In Defense of Negativity: Attack Ads in Presidential </w:t>
      </w:r>
      <w:r w:rsidR="00DB372B" w:rsidRPr="00040819">
        <w:rPr>
          <w:rFonts w:ascii="Cambria" w:hAnsi="Cambria"/>
          <w:b/>
          <w:i/>
        </w:rPr>
        <w:t>Campaigns</w:t>
      </w:r>
      <w:bookmarkStart w:id="0" w:name="_GoBack"/>
      <w:bookmarkEnd w:id="0"/>
      <w:r w:rsidRPr="00040819">
        <w:rPr>
          <w:rFonts w:ascii="Cambria" w:hAnsi="Cambria"/>
          <w:b/>
          <w:i/>
        </w:rPr>
        <w:t xml:space="preserve">. </w:t>
      </w:r>
      <w:r w:rsidRPr="00040819">
        <w:rPr>
          <w:rFonts w:ascii="Cambria" w:hAnsi="Cambria"/>
          <w:b/>
        </w:rPr>
        <w:t>Chicago: U of Chicago, 2006. Print.</w:t>
      </w:r>
    </w:p>
    <w:p w14:paraId="1B635FE3" w14:textId="77777777" w:rsidR="00A92229" w:rsidRDefault="00A92229" w:rsidP="00EB5968">
      <w:pPr>
        <w:rPr>
          <w:rFonts w:ascii="Cambria" w:hAnsi="Cambria"/>
        </w:rPr>
      </w:pPr>
    </w:p>
    <w:p w14:paraId="4E6239D1" w14:textId="77777777" w:rsidR="00040819" w:rsidRDefault="00040819" w:rsidP="00EB5968">
      <w:pPr>
        <w:rPr>
          <w:rFonts w:ascii="Cambria" w:hAnsi="Cambria"/>
        </w:rPr>
      </w:pPr>
      <w:r>
        <w:rPr>
          <w:rFonts w:ascii="Cambria" w:hAnsi="Cambria"/>
        </w:rPr>
        <w:tab/>
        <w:t xml:space="preserve">Fundamental reading that points to previous theory on negativity. Though a spirited rebuttal to demobilization theory, this work is pivotal to understanding the difference in content and effect that negativity in the campaign cycle can have. </w:t>
      </w:r>
    </w:p>
    <w:p w14:paraId="2950E32A" w14:textId="77777777" w:rsidR="00040819" w:rsidRPr="00040819" w:rsidRDefault="00040819" w:rsidP="00EB5968">
      <w:pPr>
        <w:rPr>
          <w:rFonts w:ascii="Cambria" w:hAnsi="Cambria"/>
        </w:rPr>
      </w:pPr>
    </w:p>
    <w:p w14:paraId="1F278CBD" w14:textId="77777777" w:rsidR="00041113" w:rsidRDefault="00041113" w:rsidP="00EB5968">
      <w:pPr>
        <w:rPr>
          <w:rFonts w:ascii="Cambria" w:eastAsia="Times New Roman" w:hAnsi="Cambria" w:cs="Times New Roman"/>
          <w:b/>
          <w:color w:val="333333"/>
          <w:spacing w:val="2"/>
          <w:shd w:val="clear" w:color="auto" w:fill="FCFCFC"/>
        </w:rPr>
      </w:pPr>
      <w:proofErr w:type="spellStart"/>
      <w:r w:rsidRPr="00040819">
        <w:rPr>
          <w:rFonts w:ascii="Cambria" w:eastAsia="Times New Roman" w:hAnsi="Cambria" w:cs="Times New Roman"/>
          <w:b/>
          <w:color w:val="333333"/>
          <w:spacing w:val="2"/>
          <w:shd w:val="clear" w:color="auto" w:fill="FCFCFC"/>
        </w:rPr>
        <w:t>Lazarsfeld</w:t>
      </w:r>
      <w:proofErr w:type="spellEnd"/>
      <w:r w:rsidRPr="00040819">
        <w:rPr>
          <w:rFonts w:ascii="Cambria" w:eastAsia="Times New Roman" w:hAnsi="Cambria" w:cs="Times New Roman"/>
          <w:b/>
          <w:color w:val="333333"/>
          <w:spacing w:val="2"/>
          <w:shd w:val="clear" w:color="auto" w:fill="FCFCFC"/>
        </w:rPr>
        <w:t xml:space="preserve">, P.F., </w:t>
      </w:r>
      <w:proofErr w:type="spellStart"/>
      <w:r w:rsidRPr="00040819">
        <w:rPr>
          <w:rFonts w:ascii="Cambria" w:eastAsia="Times New Roman" w:hAnsi="Cambria" w:cs="Times New Roman"/>
          <w:b/>
          <w:color w:val="333333"/>
          <w:spacing w:val="2"/>
          <w:shd w:val="clear" w:color="auto" w:fill="FCFCFC"/>
        </w:rPr>
        <w:t>Berelson</w:t>
      </w:r>
      <w:proofErr w:type="spellEnd"/>
      <w:r w:rsidRPr="00040819">
        <w:rPr>
          <w:rFonts w:ascii="Cambria" w:eastAsia="Times New Roman" w:hAnsi="Cambria" w:cs="Times New Roman"/>
          <w:b/>
          <w:color w:val="333333"/>
          <w:spacing w:val="2"/>
          <w:shd w:val="clear" w:color="auto" w:fill="FCFCFC"/>
        </w:rPr>
        <w:t xml:space="preserve">, B. and </w:t>
      </w:r>
      <w:proofErr w:type="spellStart"/>
      <w:r w:rsidRPr="00040819">
        <w:rPr>
          <w:rFonts w:ascii="Cambria" w:eastAsia="Times New Roman" w:hAnsi="Cambria" w:cs="Times New Roman"/>
          <w:b/>
          <w:color w:val="333333"/>
          <w:spacing w:val="2"/>
          <w:shd w:val="clear" w:color="auto" w:fill="FCFCFC"/>
        </w:rPr>
        <w:t>Gaudet</w:t>
      </w:r>
      <w:proofErr w:type="spellEnd"/>
      <w:r w:rsidRPr="00040819">
        <w:rPr>
          <w:rFonts w:ascii="Cambria" w:eastAsia="Times New Roman" w:hAnsi="Cambria" w:cs="Times New Roman"/>
          <w:b/>
          <w:color w:val="333333"/>
          <w:spacing w:val="2"/>
          <w:shd w:val="clear" w:color="auto" w:fill="FCFCFC"/>
        </w:rPr>
        <w:t xml:space="preserve">, H. (1948) </w:t>
      </w:r>
      <w:r w:rsidRPr="00040819">
        <w:rPr>
          <w:rFonts w:ascii="Cambria" w:eastAsia="Times New Roman" w:hAnsi="Cambria" w:cs="Times New Roman"/>
          <w:b/>
          <w:i/>
          <w:color w:val="333333"/>
          <w:spacing w:val="2"/>
          <w:shd w:val="clear" w:color="auto" w:fill="FCFCFC"/>
        </w:rPr>
        <w:t>The People’s Choice: How the Voter Makes up his Mind in a Presidential Campaign</w:t>
      </w:r>
      <w:r w:rsidRPr="00040819">
        <w:rPr>
          <w:rFonts w:ascii="Cambria" w:eastAsia="Times New Roman" w:hAnsi="Cambria" w:cs="Times New Roman"/>
          <w:b/>
          <w:color w:val="333333"/>
          <w:spacing w:val="2"/>
          <w:shd w:val="clear" w:color="auto" w:fill="FCFCFC"/>
        </w:rPr>
        <w:t>. New York: Columbia University Press.</w:t>
      </w:r>
    </w:p>
    <w:p w14:paraId="4B4EF744" w14:textId="77777777" w:rsidR="00040819" w:rsidRDefault="00040819" w:rsidP="00EB5968">
      <w:pPr>
        <w:rPr>
          <w:rFonts w:ascii="Cambria" w:eastAsia="Times New Roman" w:hAnsi="Cambria" w:cs="Times New Roman"/>
          <w:b/>
          <w:color w:val="333333"/>
          <w:spacing w:val="2"/>
          <w:shd w:val="clear" w:color="auto" w:fill="FCFCFC"/>
        </w:rPr>
      </w:pPr>
    </w:p>
    <w:p w14:paraId="2F70C5EB" w14:textId="77777777" w:rsidR="00040819" w:rsidRPr="00040819" w:rsidRDefault="00040819" w:rsidP="00EB5968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color w:val="333333"/>
          <w:spacing w:val="2"/>
          <w:shd w:val="clear" w:color="auto" w:fill="FCFCFC"/>
        </w:rPr>
        <w:tab/>
      </w:r>
      <w:proofErr w:type="gramStart"/>
      <w:r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A very old but entirely essential reading to understanding selection.</w:t>
      </w:r>
      <w:proofErr w:type="gramEnd"/>
      <w:r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 xml:space="preserve"> It is important to pair this with other works on decision theory and use the idea of minimum effects, and more observations by </w:t>
      </w:r>
      <w:proofErr w:type="spellStart"/>
      <w:r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Iyengar</w:t>
      </w:r>
      <w:proofErr w:type="spellEnd"/>
      <w:r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 xml:space="preserve"> to demonstrate that media can affect voting (this give a first ground to then argue that social media can affect behavior)</w:t>
      </w:r>
    </w:p>
    <w:p w14:paraId="14659686" w14:textId="77777777" w:rsidR="00041113" w:rsidRPr="00041113" w:rsidRDefault="00041113" w:rsidP="00EB5968">
      <w:pPr>
        <w:rPr>
          <w:rFonts w:ascii="Cambria" w:hAnsi="Cambria"/>
        </w:rPr>
      </w:pPr>
    </w:p>
    <w:p w14:paraId="184C5777" w14:textId="77777777" w:rsidR="00A92229" w:rsidRPr="00041113" w:rsidRDefault="00A92229" w:rsidP="00EB5968">
      <w:pPr>
        <w:rPr>
          <w:rFonts w:ascii="Cambria" w:hAnsi="Cambria"/>
        </w:rPr>
      </w:pPr>
      <w:proofErr w:type="spellStart"/>
      <w:r w:rsidRPr="00041113">
        <w:rPr>
          <w:rFonts w:ascii="Cambria" w:hAnsi="Cambria"/>
        </w:rPr>
        <w:t>Kaid</w:t>
      </w:r>
      <w:proofErr w:type="spellEnd"/>
      <w:r w:rsidRPr="00041113">
        <w:rPr>
          <w:rFonts w:ascii="Cambria" w:hAnsi="Cambria"/>
        </w:rPr>
        <w:t>, Lynda Lee</w:t>
      </w:r>
      <w:proofErr w:type="gramStart"/>
      <w:r w:rsidRPr="00041113">
        <w:rPr>
          <w:rFonts w:ascii="Cambria" w:hAnsi="Cambria"/>
        </w:rPr>
        <w:t>.,</w:t>
      </w:r>
      <w:proofErr w:type="gramEnd"/>
      <w:r w:rsidRPr="00041113">
        <w:rPr>
          <w:rFonts w:ascii="Cambria" w:hAnsi="Cambria"/>
        </w:rPr>
        <w:t xml:space="preserve"> and Anne Johnston. </w:t>
      </w:r>
      <w:r w:rsidRPr="00041113">
        <w:rPr>
          <w:rFonts w:ascii="Cambria" w:hAnsi="Cambria"/>
          <w:i/>
        </w:rPr>
        <w:t>Videostyle in Presidential Campaigns: Style and Content of Televised Political Advertising.</w:t>
      </w:r>
      <w:r w:rsidRPr="00041113">
        <w:rPr>
          <w:rFonts w:ascii="Cambria" w:hAnsi="Cambria"/>
        </w:rPr>
        <w:t xml:space="preserve"> Westport, CT: </w:t>
      </w:r>
      <w:proofErr w:type="spellStart"/>
      <w:r w:rsidRPr="00041113">
        <w:rPr>
          <w:rFonts w:ascii="Cambria" w:hAnsi="Cambria"/>
        </w:rPr>
        <w:t>Praeger</w:t>
      </w:r>
      <w:proofErr w:type="spellEnd"/>
      <w:r w:rsidRPr="00041113">
        <w:rPr>
          <w:rFonts w:ascii="Cambria" w:hAnsi="Cambria"/>
        </w:rPr>
        <w:t>, 2001. Print.</w:t>
      </w:r>
    </w:p>
    <w:p w14:paraId="43C44054" w14:textId="77777777" w:rsidR="00A92229" w:rsidRDefault="00A92229" w:rsidP="00EB5968">
      <w:pPr>
        <w:rPr>
          <w:rFonts w:ascii="Cambria" w:hAnsi="Cambria"/>
        </w:rPr>
      </w:pPr>
    </w:p>
    <w:p w14:paraId="5AE4B706" w14:textId="77777777" w:rsidR="00040819" w:rsidRDefault="00040819" w:rsidP="00EB5968">
      <w:pPr>
        <w:rPr>
          <w:rFonts w:ascii="Cambria" w:hAnsi="Cambria"/>
        </w:rPr>
      </w:pPr>
      <w:r>
        <w:rPr>
          <w:rFonts w:ascii="Cambria" w:hAnsi="Cambria"/>
        </w:rPr>
        <w:tab/>
        <w:t>A surprising relevant book for this topic</w:t>
      </w:r>
      <w:r>
        <w:rPr>
          <w:rFonts w:ascii="Cambria" w:hAnsi="Cambria"/>
        </w:rPr>
        <w:tab/>
      </w:r>
    </w:p>
    <w:p w14:paraId="134E3939" w14:textId="77777777" w:rsidR="00040819" w:rsidRPr="00041113" w:rsidRDefault="00040819" w:rsidP="00EB5968">
      <w:pPr>
        <w:rPr>
          <w:rFonts w:ascii="Cambria" w:hAnsi="Cambria"/>
        </w:rPr>
      </w:pPr>
    </w:p>
    <w:p w14:paraId="3AF60398" w14:textId="77777777" w:rsidR="008632BA" w:rsidRPr="00041113" w:rsidRDefault="008632BA" w:rsidP="00EB5968">
      <w:pPr>
        <w:rPr>
          <w:rFonts w:ascii="Cambria" w:hAnsi="Cambria"/>
        </w:rPr>
      </w:pPr>
      <w:proofErr w:type="spellStart"/>
      <w:r w:rsidRPr="00041113">
        <w:rPr>
          <w:rFonts w:ascii="Cambria" w:hAnsi="Cambria"/>
        </w:rPr>
        <w:t>Perlmutter</w:t>
      </w:r>
      <w:proofErr w:type="spellEnd"/>
      <w:r w:rsidRPr="00041113">
        <w:rPr>
          <w:rFonts w:ascii="Cambria" w:hAnsi="Cambria"/>
        </w:rPr>
        <w:t xml:space="preserve">, David D. </w:t>
      </w:r>
      <w:proofErr w:type="gramStart"/>
      <w:r w:rsidRPr="00041113">
        <w:rPr>
          <w:rFonts w:ascii="Cambria" w:hAnsi="Cambria"/>
          <w:i/>
        </w:rPr>
        <w:t xml:space="preserve">The </w:t>
      </w:r>
      <w:proofErr w:type="spellStart"/>
      <w:r w:rsidRPr="00041113">
        <w:rPr>
          <w:rFonts w:ascii="Cambria" w:hAnsi="Cambria"/>
          <w:i/>
        </w:rPr>
        <w:t>Manship</w:t>
      </w:r>
      <w:proofErr w:type="spellEnd"/>
      <w:r w:rsidRPr="00041113">
        <w:rPr>
          <w:rFonts w:ascii="Cambria" w:hAnsi="Cambria"/>
          <w:i/>
        </w:rPr>
        <w:t xml:space="preserve"> School Guide to Political Communication.</w:t>
      </w:r>
      <w:proofErr w:type="gramEnd"/>
      <w:r w:rsidRPr="00041113">
        <w:rPr>
          <w:rFonts w:ascii="Cambria" w:hAnsi="Cambria"/>
        </w:rPr>
        <w:t xml:space="preserve"> Baton Rouge: Louisiana State UP, 1999. Print.</w:t>
      </w:r>
    </w:p>
    <w:p w14:paraId="0AF4A76D" w14:textId="77777777" w:rsidR="008632BA" w:rsidRPr="00041113" w:rsidRDefault="008632BA" w:rsidP="00EB5968">
      <w:pPr>
        <w:rPr>
          <w:rFonts w:ascii="Cambria" w:hAnsi="Cambria"/>
        </w:rPr>
      </w:pPr>
    </w:p>
    <w:p w14:paraId="66C7C5D4" w14:textId="77777777" w:rsidR="008632BA" w:rsidRDefault="00EB5968" w:rsidP="00EB5968">
      <w:pPr>
        <w:rPr>
          <w:rFonts w:ascii="Cambria" w:hAnsi="Cambria" w:hint="eastAsia"/>
          <w:lang w:eastAsia="zh-CN"/>
        </w:rPr>
      </w:pPr>
      <w:proofErr w:type="spellStart"/>
      <w:r w:rsidRPr="00041113">
        <w:rPr>
          <w:rFonts w:ascii="Cambria" w:hAnsi="Cambria"/>
        </w:rPr>
        <w:t>Ridout</w:t>
      </w:r>
      <w:proofErr w:type="spellEnd"/>
      <w:r w:rsidRPr="00041113">
        <w:rPr>
          <w:rFonts w:ascii="Cambria" w:hAnsi="Cambria"/>
        </w:rPr>
        <w:t xml:space="preserve">, Travis </w:t>
      </w:r>
      <w:proofErr w:type="spellStart"/>
      <w:r w:rsidRPr="00041113">
        <w:rPr>
          <w:rFonts w:ascii="Cambria" w:hAnsi="Cambria"/>
        </w:rPr>
        <w:t>N.</w:t>
      </w:r>
      <w:proofErr w:type="gramStart"/>
      <w:r w:rsidRPr="00041113">
        <w:rPr>
          <w:rFonts w:ascii="Cambria" w:hAnsi="Cambria"/>
        </w:rPr>
        <w:t>,and</w:t>
      </w:r>
      <w:proofErr w:type="spellEnd"/>
      <w:proofErr w:type="gramEnd"/>
      <w:r w:rsidRPr="00041113">
        <w:rPr>
          <w:rFonts w:ascii="Cambria" w:hAnsi="Cambria"/>
        </w:rPr>
        <w:t xml:space="preserve"> Michael M. Franz. </w:t>
      </w:r>
      <w:proofErr w:type="gramStart"/>
      <w:r w:rsidRPr="00041113">
        <w:rPr>
          <w:rFonts w:ascii="Cambria" w:hAnsi="Cambria"/>
          <w:i/>
        </w:rPr>
        <w:t>The Persuasive Power of Campaign Advertising.</w:t>
      </w:r>
      <w:proofErr w:type="gramEnd"/>
      <w:r w:rsidRPr="00041113">
        <w:rPr>
          <w:rFonts w:ascii="Cambria" w:hAnsi="Cambria"/>
          <w:i/>
        </w:rPr>
        <w:t xml:space="preserve"> </w:t>
      </w:r>
      <w:r w:rsidRPr="00041113">
        <w:rPr>
          <w:rFonts w:ascii="Cambria" w:hAnsi="Cambria"/>
        </w:rPr>
        <w:t>Philadelphia: Temple UP, 2011. Print.</w:t>
      </w:r>
    </w:p>
    <w:p w14:paraId="18FD4FED" w14:textId="77777777" w:rsidR="009F2F9A" w:rsidRDefault="009F2F9A" w:rsidP="00EB5968">
      <w:pPr>
        <w:rPr>
          <w:rFonts w:ascii="Cambria" w:hAnsi="Cambria" w:hint="eastAsia"/>
          <w:lang w:eastAsia="zh-CN"/>
        </w:rPr>
      </w:pPr>
      <w:r>
        <w:rPr>
          <w:rFonts w:ascii="Cambria" w:hAnsi="Cambria" w:hint="eastAsia"/>
          <w:lang w:eastAsia="zh-CN"/>
        </w:rPr>
        <w:tab/>
        <w:t xml:space="preserve">Chapter 1 (Role of campaign advertising) </w:t>
      </w:r>
      <w:r>
        <w:rPr>
          <w:rFonts w:ascii="Cambria" w:hAnsi="Cambria"/>
          <w:lang w:eastAsia="zh-CN"/>
        </w:rPr>
        <w:t>“</w:t>
      </w:r>
      <w:r>
        <w:rPr>
          <w:rFonts w:ascii="Cambria" w:hAnsi="Cambria" w:hint="eastAsia"/>
          <w:lang w:eastAsia="zh-CN"/>
        </w:rPr>
        <w:t>few studies that analyze actual campaigns have been able to demonstrate that advertisements persuade individuals to change their mind</w:t>
      </w:r>
      <w:r>
        <w:rPr>
          <w:rFonts w:ascii="Cambria" w:hAnsi="Cambria"/>
          <w:lang w:eastAsia="zh-CN"/>
        </w:rPr>
        <w:t>”</w:t>
      </w:r>
      <w:r>
        <w:rPr>
          <w:rFonts w:ascii="Cambria" w:hAnsi="Cambria" w:hint="eastAsia"/>
          <w:lang w:eastAsia="zh-CN"/>
        </w:rPr>
        <w:t xml:space="preserve"> (Huber and </w:t>
      </w:r>
      <w:proofErr w:type="spellStart"/>
      <w:r>
        <w:rPr>
          <w:rFonts w:ascii="Cambria" w:hAnsi="Cambria" w:hint="eastAsia"/>
          <w:lang w:eastAsia="zh-CN"/>
        </w:rPr>
        <w:t>Arceneaux</w:t>
      </w:r>
      <w:proofErr w:type="spellEnd"/>
      <w:r>
        <w:rPr>
          <w:rFonts w:ascii="Cambria" w:hAnsi="Cambria" w:hint="eastAsia"/>
          <w:lang w:eastAsia="zh-CN"/>
        </w:rPr>
        <w:t xml:space="preserve"> 2007, 957)</w:t>
      </w:r>
    </w:p>
    <w:p w14:paraId="48EFFEE1" w14:textId="77777777" w:rsidR="009F2F9A" w:rsidRDefault="009F2F9A" w:rsidP="00EB5968">
      <w:pPr>
        <w:rPr>
          <w:rFonts w:ascii="Cambria" w:hAnsi="Cambria" w:hint="eastAsia"/>
          <w:lang w:eastAsia="zh-CN"/>
        </w:rPr>
      </w:pPr>
      <w:r>
        <w:rPr>
          <w:rFonts w:ascii="Cambria" w:hAnsi="Cambria" w:hint="eastAsia"/>
          <w:lang w:eastAsia="zh-CN"/>
        </w:rPr>
        <w:tab/>
        <w:t>(</w:t>
      </w:r>
      <w:proofErr w:type="spellStart"/>
      <w:r>
        <w:rPr>
          <w:rFonts w:ascii="Cambria" w:hAnsi="Cambria" w:hint="eastAsia"/>
          <w:lang w:eastAsia="zh-CN"/>
        </w:rPr>
        <w:t>Zaller</w:t>
      </w:r>
      <w:proofErr w:type="spellEnd"/>
      <w:r>
        <w:rPr>
          <w:rFonts w:ascii="Cambria" w:hAnsi="Cambria" w:hint="eastAsia"/>
          <w:lang w:eastAsia="zh-CN"/>
        </w:rPr>
        <w:t xml:space="preserve"> 1996 for alternative view)</w:t>
      </w:r>
    </w:p>
    <w:p w14:paraId="3A11D807" w14:textId="77777777" w:rsidR="009F2F9A" w:rsidRDefault="009F2F9A" w:rsidP="00EB5968">
      <w:pPr>
        <w:rPr>
          <w:rFonts w:ascii="Cambria" w:hAnsi="Cambria" w:hint="eastAsia"/>
          <w:lang w:eastAsia="zh-CN"/>
        </w:rPr>
      </w:pPr>
      <w:r>
        <w:rPr>
          <w:rFonts w:ascii="Cambria" w:hAnsi="Cambria" w:hint="eastAsia"/>
          <w:lang w:eastAsia="zh-CN"/>
        </w:rPr>
        <w:lastRenderedPageBreak/>
        <w:tab/>
      </w:r>
      <w:proofErr w:type="gramStart"/>
      <w:r>
        <w:rPr>
          <w:rFonts w:ascii="Cambria" w:hAnsi="Cambria" w:hint="eastAsia"/>
          <w:lang w:eastAsia="zh-CN"/>
        </w:rPr>
        <w:t>focus</w:t>
      </w:r>
      <w:proofErr w:type="gramEnd"/>
      <w:r>
        <w:rPr>
          <w:rFonts w:ascii="Cambria" w:hAnsi="Cambria" w:hint="eastAsia"/>
          <w:lang w:eastAsia="zh-CN"/>
        </w:rPr>
        <w:t xml:space="preserve"> on </w:t>
      </w:r>
      <w:r>
        <w:rPr>
          <w:rFonts w:ascii="Cambria" w:hAnsi="Cambria" w:hint="eastAsia"/>
          <w:u w:val="single"/>
          <w:lang w:eastAsia="zh-CN"/>
        </w:rPr>
        <w:t>Ad Environment</w:t>
      </w:r>
      <w:r>
        <w:rPr>
          <w:rFonts w:ascii="Cambria" w:hAnsi="Cambria" w:hint="eastAsia"/>
          <w:lang w:eastAsia="zh-CN"/>
        </w:rPr>
        <w:t xml:space="preserve"> instead of specific instance (5)</w:t>
      </w:r>
    </w:p>
    <w:p w14:paraId="599959A9" w14:textId="77777777" w:rsidR="009F2F9A" w:rsidRPr="009F2F9A" w:rsidRDefault="009F2F9A" w:rsidP="00EB5968">
      <w:pPr>
        <w:rPr>
          <w:rFonts w:ascii="Cambria" w:hAnsi="Cambria" w:hint="eastAsia"/>
          <w:lang w:eastAsia="zh-CN"/>
        </w:rPr>
      </w:pPr>
      <w:r>
        <w:rPr>
          <w:rFonts w:ascii="Cambria" w:hAnsi="Cambria" w:hint="eastAsia"/>
          <w:lang w:eastAsia="zh-CN"/>
        </w:rPr>
        <w:tab/>
      </w:r>
    </w:p>
    <w:p w14:paraId="6B118F6B" w14:textId="77777777" w:rsidR="008632BA" w:rsidRPr="00041113" w:rsidRDefault="008632BA" w:rsidP="00EB5968">
      <w:pPr>
        <w:rPr>
          <w:rFonts w:ascii="Cambria" w:hAnsi="Cambria"/>
        </w:rPr>
      </w:pPr>
    </w:p>
    <w:p w14:paraId="1BB7F2B6" w14:textId="77777777" w:rsidR="00A92229" w:rsidRPr="00041113" w:rsidRDefault="00A92229" w:rsidP="00EB5968">
      <w:pPr>
        <w:rPr>
          <w:rFonts w:ascii="Cambria" w:hAnsi="Cambria"/>
        </w:rPr>
      </w:pPr>
      <w:r w:rsidRPr="00041113">
        <w:rPr>
          <w:rFonts w:ascii="Cambria" w:hAnsi="Cambria"/>
        </w:rPr>
        <w:t xml:space="preserve">Thurber, James A., Candice J. Nelson, and David A. </w:t>
      </w:r>
      <w:proofErr w:type="spellStart"/>
      <w:r w:rsidRPr="00041113">
        <w:rPr>
          <w:rFonts w:ascii="Cambria" w:hAnsi="Cambria"/>
        </w:rPr>
        <w:t>Dulio</w:t>
      </w:r>
      <w:proofErr w:type="spellEnd"/>
      <w:r w:rsidRPr="00041113">
        <w:rPr>
          <w:rFonts w:ascii="Cambria" w:hAnsi="Cambria"/>
        </w:rPr>
        <w:t xml:space="preserve">. </w:t>
      </w:r>
      <w:r w:rsidRPr="00041113">
        <w:rPr>
          <w:rFonts w:ascii="Cambria" w:hAnsi="Cambria"/>
          <w:i/>
        </w:rPr>
        <w:t xml:space="preserve">Crowded Airwaves: Campaign Advertising in Elections. </w:t>
      </w:r>
      <w:r w:rsidRPr="00041113">
        <w:rPr>
          <w:rFonts w:ascii="Cambria" w:hAnsi="Cambria"/>
        </w:rPr>
        <w:t xml:space="preserve">Washington, D.C.: Brookings Institution, 2000. Print. </w:t>
      </w:r>
    </w:p>
    <w:p w14:paraId="7AE6E6E3" w14:textId="77777777" w:rsidR="00EB5968" w:rsidRPr="00041113" w:rsidRDefault="00EB5968" w:rsidP="00EB5968">
      <w:pPr>
        <w:rPr>
          <w:rFonts w:ascii="Cambria" w:hAnsi="Cambria"/>
        </w:rPr>
      </w:pPr>
    </w:p>
    <w:p w14:paraId="07348A34" w14:textId="77777777" w:rsidR="008632BA" w:rsidRPr="00041113" w:rsidRDefault="00040819" w:rsidP="00EB5968">
      <w:pPr>
        <w:rPr>
          <w:rFonts w:ascii="Cambria" w:hAnsi="Cambria"/>
          <w:b/>
        </w:rPr>
      </w:pPr>
      <w:r w:rsidRPr="00040819">
        <w:rPr>
          <w:rFonts w:ascii="Cambria" w:hAnsi="Cambria"/>
          <w:b/>
        </w:rPr>
        <w:t>https://pcl.stanford.edu/research/books/#mediapolitics</w:t>
      </w:r>
    </w:p>
    <w:p w14:paraId="05A6AA8F" w14:textId="77777777" w:rsidR="008632BA" w:rsidRPr="00041113" w:rsidRDefault="008632BA" w:rsidP="00EB5968">
      <w:pPr>
        <w:rPr>
          <w:rFonts w:ascii="Cambria" w:hAnsi="Cambria"/>
          <w:b/>
        </w:rPr>
      </w:pPr>
    </w:p>
    <w:p w14:paraId="65E9F63B" w14:textId="77777777" w:rsidR="008632BA" w:rsidRPr="00041113" w:rsidRDefault="008632BA" w:rsidP="00EB5968">
      <w:pPr>
        <w:rPr>
          <w:rFonts w:ascii="Cambria" w:hAnsi="Cambria"/>
          <w:b/>
        </w:rPr>
      </w:pPr>
    </w:p>
    <w:p w14:paraId="5B981DCF" w14:textId="77777777" w:rsidR="00EB5968" w:rsidRPr="00041113" w:rsidRDefault="00EB5968" w:rsidP="00EB5968">
      <w:pPr>
        <w:rPr>
          <w:rFonts w:ascii="Cambria" w:hAnsi="Cambria"/>
          <w:b/>
        </w:rPr>
      </w:pPr>
      <w:r w:rsidRPr="00041113">
        <w:rPr>
          <w:rFonts w:ascii="Cambria" w:hAnsi="Cambria"/>
          <w:b/>
        </w:rPr>
        <w:t>New Media in Campaigns</w:t>
      </w:r>
    </w:p>
    <w:p w14:paraId="75BC6902" w14:textId="77777777" w:rsidR="008632BA" w:rsidRPr="00041113" w:rsidRDefault="008632BA" w:rsidP="00EB5968">
      <w:pPr>
        <w:rPr>
          <w:rFonts w:ascii="Cambria" w:hAnsi="Cambria"/>
          <w:b/>
        </w:rPr>
      </w:pPr>
    </w:p>
    <w:p w14:paraId="5815779F" w14:textId="77777777" w:rsidR="00041113" w:rsidRPr="00041113" w:rsidRDefault="00041113" w:rsidP="00EB5968">
      <w:pPr>
        <w:rPr>
          <w:rFonts w:ascii="Cambria" w:eastAsia="Times New Roman" w:hAnsi="Cambria" w:cs="Times New Roman"/>
        </w:rPr>
      </w:pPr>
      <w:proofErr w:type="spellStart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Blumler</w:t>
      </w:r>
      <w:proofErr w:type="spellEnd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, J.G. and Kavanagh, D. (1999</w:t>
      </w:r>
      <w:r w:rsidRPr="00041113">
        <w:rPr>
          <w:rFonts w:ascii="Cambria" w:eastAsia="Times New Roman" w:hAnsi="Cambria" w:cs="Times New Roman"/>
          <w:i/>
          <w:color w:val="333333"/>
          <w:spacing w:val="2"/>
          <w:shd w:val="clear" w:color="auto" w:fill="FCFCFC"/>
        </w:rPr>
        <w:t>) The third age of political communication: Influences and features</w:t>
      </w:r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 xml:space="preserve">. </w:t>
      </w:r>
      <w:proofErr w:type="gramStart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Political Communication 16(3): 209–230.</w:t>
      </w:r>
      <w:proofErr w:type="gramEnd"/>
    </w:p>
    <w:p w14:paraId="4A9AFF61" w14:textId="77777777" w:rsidR="00041113" w:rsidRPr="00041113" w:rsidRDefault="00041113" w:rsidP="00EB5968">
      <w:pPr>
        <w:rPr>
          <w:rFonts w:ascii="Cambria" w:hAnsi="Cambria"/>
          <w:b/>
        </w:rPr>
      </w:pPr>
    </w:p>
    <w:p w14:paraId="3744064E" w14:textId="77777777" w:rsidR="00041113" w:rsidRPr="00041113" w:rsidRDefault="00041113" w:rsidP="00041113">
      <w:pPr>
        <w:rPr>
          <w:rFonts w:ascii="Cambria" w:eastAsia="Times New Roman" w:hAnsi="Cambria" w:cs="Times New Roman"/>
        </w:rPr>
      </w:pPr>
      <w:proofErr w:type="spellStart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Giglietto</w:t>
      </w:r>
      <w:proofErr w:type="spellEnd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 xml:space="preserve">, F. and </w:t>
      </w:r>
      <w:proofErr w:type="spellStart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Selva</w:t>
      </w:r>
      <w:proofErr w:type="spellEnd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 xml:space="preserve">, D. (2014) </w:t>
      </w:r>
      <w:r w:rsidRPr="00041113">
        <w:rPr>
          <w:rFonts w:ascii="Cambria" w:eastAsia="Times New Roman" w:hAnsi="Cambria" w:cs="Times New Roman"/>
          <w:i/>
          <w:color w:val="333333"/>
          <w:spacing w:val="2"/>
          <w:shd w:val="clear" w:color="auto" w:fill="FCFCFC"/>
        </w:rPr>
        <w:t>Second screen and participation: A content analysis on a full season dataset of tweets</w:t>
      </w:r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 xml:space="preserve">. </w:t>
      </w:r>
      <w:proofErr w:type="gramStart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Journal of Communication 64(2): 260–277.</w:t>
      </w:r>
      <w:proofErr w:type="gramEnd"/>
    </w:p>
    <w:p w14:paraId="47B29E8D" w14:textId="77777777" w:rsidR="00041113" w:rsidRPr="00041113" w:rsidRDefault="00041113" w:rsidP="00EB5968">
      <w:pPr>
        <w:rPr>
          <w:rFonts w:ascii="Cambria" w:hAnsi="Cambria"/>
          <w:b/>
        </w:rPr>
      </w:pPr>
    </w:p>
    <w:p w14:paraId="2A795440" w14:textId="77777777" w:rsidR="00041113" w:rsidRPr="00041113" w:rsidRDefault="00041113" w:rsidP="00041113">
      <w:pPr>
        <w:rPr>
          <w:rFonts w:ascii="Cambria" w:eastAsia="Times New Roman" w:hAnsi="Cambria" w:cs="Times New Roman"/>
        </w:rPr>
      </w:pPr>
      <w:proofErr w:type="spellStart"/>
      <w:proofErr w:type="gramStart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Gurevitch</w:t>
      </w:r>
      <w:proofErr w:type="spellEnd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 xml:space="preserve">, M., Coleman, S. and </w:t>
      </w:r>
      <w:proofErr w:type="spellStart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Blumler</w:t>
      </w:r>
      <w:proofErr w:type="spellEnd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 xml:space="preserve">, J.G. (2009) </w:t>
      </w:r>
      <w:r w:rsidRPr="00041113">
        <w:rPr>
          <w:rFonts w:ascii="Cambria" w:eastAsia="Times New Roman" w:hAnsi="Cambria" w:cs="Times New Roman"/>
          <w:i/>
          <w:color w:val="333333"/>
          <w:spacing w:val="2"/>
          <w:shd w:val="clear" w:color="auto" w:fill="FCFCFC"/>
        </w:rPr>
        <w:t>Political communication-old and new media relationships</w:t>
      </w:r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.</w:t>
      </w:r>
      <w:proofErr w:type="gramEnd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 xml:space="preserve"> </w:t>
      </w:r>
      <w:proofErr w:type="gramStart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ANNALS of the American Academy of Political and Social Science 625: 164–181.</w:t>
      </w:r>
      <w:proofErr w:type="gramEnd"/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t> </w:t>
      </w:r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fldChar w:fldCharType="begin"/>
      </w:r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instrText xml:space="preserve"> HYPERLINK "http://doi.org/10.1177/0002716209339345" \t "_blank" </w:instrText>
      </w:r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</w:r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fldChar w:fldCharType="separate"/>
      </w:r>
      <w:r w:rsidRPr="00041113">
        <w:rPr>
          <w:rFonts w:ascii="Cambria" w:eastAsia="Times New Roman" w:hAnsi="Cambria" w:cs="Times New Roman"/>
          <w:color w:val="8E2555"/>
          <w:spacing w:val="2"/>
          <w:u w:val="single"/>
        </w:rPr>
        <w:t>http://doi.org/10.1177/0002716209339345</w:t>
      </w:r>
      <w:r w:rsidRPr="00041113">
        <w:rPr>
          <w:rFonts w:ascii="Cambria" w:eastAsia="Times New Roman" w:hAnsi="Cambria" w:cs="Times New Roman"/>
          <w:color w:val="333333"/>
          <w:spacing w:val="2"/>
          <w:shd w:val="clear" w:color="auto" w:fill="FCFCFC"/>
        </w:rPr>
        <w:fldChar w:fldCharType="end"/>
      </w:r>
    </w:p>
    <w:p w14:paraId="0BA1EA9A" w14:textId="77777777" w:rsidR="00041113" w:rsidRPr="00041113" w:rsidRDefault="00041113" w:rsidP="00EB5968">
      <w:pPr>
        <w:rPr>
          <w:rFonts w:ascii="Cambria" w:hAnsi="Cambria"/>
          <w:b/>
        </w:rPr>
      </w:pPr>
    </w:p>
    <w:p w14:paraId="5DB1D722" w14:textId="77777777" w:rsidR="00041113" w:rsidRPr="00041113" w:rsidRDefault="00041113" w:rsidP="00EB5968">
      <w:pPr>
        <w:rPr>
          <w:rFonts w:ascii="Cambria" w:hAnsi="Cambria"/>
          <w:b/>
        </w:rPr>
      </w:pPr>
    </w:p>
    <w:p w14:paraId="0A970E3E" w14:textId="77777777" w:rsidR="008632BA" w:rsidRDefault="008632BA" w:rsidP="00EB5968">
      <w:pPr>
        <w:rPr>
          <w:rFonts w:ascii="Cambria" w:hAnsi="Cambria"/>
        </w:rPr>
      </w:pPr>
      <w:r w:rsidRPr="00041113">
        <w:rPr>
          <w:rFonts w:ascii="Cambria" w:hAnsi="Cambria"/>
        </w:rPr>
        <w:t xml:space="preserve">Howard, Philip N. </w:t>
      </w:r>
      <w:r w:rsidRPr="00041113">
        <w:rPr>
          <w:rFonts w:ascii="Cambria" w:hAnsi="Cambria"/>
          <w:i/>
        </w:rPr>
        <w:t xml:space="preserve">New Media Campaigns and the Managed Citizen. </w:t>
      </w:r>
      <w:r w:rsidRPr="00041113">
        <w:rPr>
          <w:rFonts w:ascii="Cambria" w:hAnsi="Cambria"/>
        </w:rPr>
        <w:t>Cambridge: Cambridge UP, 2006. Print.</w:t>
      </w:r>
    </w:p>
    <w:p w14:paraId="600A20A9" w14:textId="77777777" w:rsidR="00041113" w:rsidRDefault="00041113" w:rsidP="00EB5968">
      <w:pPr>
        <w:rPr>
          <w:rFonts w:ascii="Cambria" w:hAnsi="Cambria"/>
        </w:rPr>
      </w:pPr>
    </w:p>
    <w:p w14:paraId="7F93DFD0" w14:textId="77777777" w:rsidR="00041113" w:rsidRPr="00041113" w:rsidRDefault="00041113" w:rsidP="00EB5968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041113"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</w:rPr>
        <w:t>Jungherr</w:t>
      </w:r>
      <w:proofErr w:type="spellEnd"/>
      <w:r w:rsidRPr="00041113"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</w:rPr>
        <w:t xml:space="preserve">, A. (2014) </w:t>
      </w:r>
      <w:r w:rsidRPr="00041113">
        <w:rPr>
          <w:rFonts w:ascii="Georgia" w:eastAsia="Times New Roman" w:hAnsi="Georgia" w:cs="Times New Roman"/>
          <w:i/>
          <w:color w:val="333333"/>
          <w:spacing w:val="2"/>
          <w:sz w:val="26"/>
          <w:szCs w:val="26"/>
          <w:shd w:val="clear" w:color="auto" w:fill="FCFCFC"/>
        </w:rPr>
        <w:t>The logic of political coverage on Twitter: Temporal dynamics and content</w:t>
      </w:r>
      <w:r w:rsidRPr="00041113"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</w:rPr>
        <w:t xml:space="preserve">. </w:t>
      </w:r>
      <w:proofErr w:type="gramStart"/>
      <w:r w:rsidRPr="00041113"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</w:rPr>
        <w:t>Journal of Communication 64(2): 239–259.</w:t>
      </w:r>
      <w:proofErr w:type="gramEnd"/>
    </w:p>
    <w:p w14:paraId="66FE2865" w14:textId="77777777" w:rsidR="008632BA" w:rsidRPr="00041113" w:rsidRDefault="008632BA" w:rsidP="00EB5968">
      <w:pPr>
        <w:rPr>
          <w:rFonts w:ascii="Cambria" w:hAnsi="Cambria"/>
        </w:rPr>
      </w:pPr>
    </w:p>
    <w:p w14:paraId="3F609205" w14:textId="77777777" w:rsidR="00041113" w:rsidRPr="00041113" w:rsidRDefault="00041113" w:rsidP="00EB5968">
      <w:pPr>
        <w:rPr>
          <w:rFonts w:ascii="Cambria" w:hAnsi="Cambria"/>
        </w:rPr>
      </w:pPr>
      <w:r w:rsidRPr="00041113">
        <w:rPr>
          <w:rFonts w:ascii="Cambria" w:hAnsi="Cambria"/>
        </w:rPr>
        <w:t xml:space="preserve">Johnston, T. J. “Media and Voting: Building Upon the Foundations of Journalism.” </w:t>
      </w:r>
      <w:r w:rsidRPr="00041113">
        <w:rPr>
          <w:rFonts w:ascii="Cambria" w:hAnsi="Cambria"/>
          <w:i/>
        </w:rPr>
        <w:t xml:space="preserve">Journalism &amp; Mass Communication Quarterly </w:t>
      </w:r>
      <w:r w:rsidRPr="00041113">
        <w:rPr>
          <w:rFonts w:ascii="Cambria" w:hAnsi="Cambria"/>
        </w:rPr>
        <w:t>93.3 (2016): 504-08. Web</w:t>
      </w:r>
    </w:p>
    <w:p w14:paraId="76CE8FCC" w14:textId="77777777" w:rsidR="00041113" w:rsidRDefault="00041113" w:rsidP="00EB5968">
      <w:pPr>
        <w:rPr>
          <w:rFonts w:ascii="Cambria" w:hAnsi="Cambria"/>
        </w:rPr>
      </w:pPr>
    </w:p>
    <w:p w14:paraId="6D6F77F9" w14:textId="77777777" w:rsidR="00041113" w:rsidRPr="00041113" w:rsidRDefault="00041113" w:rsidP="00041113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041113"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</w:rPr>
        <w:t>Kreiss</w:t>
      </w:r>
      <w:proofErr w:type="spellEnd"/>
      <w:r w:rsidRPr="00041113"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</w:rPr>
        <w:t xml:space="preserve">, D. (2014) </w:t>
      </w:r>
      <w:proofErr w:type="gramStart"/>
      <w:r w:rsidRPr="00041113">
        <w:rPr>
          <w:rFonts w:ascii="Georgia" w:eastAsia="Times New Roman" w:hAnsi="Georgia" w:cs="Times New Roman"/>
          <w:i/>
          <w:color w:val="333333"/>
          <w:spacing w:val="2"/>
          <w:sz w:val="26"/>
          <w:szCs w:val="26"/>
          <w:shd w:val="clear" w:color="auto" w:fill="FCFCFC"/>
        </w:rPr>
        <w:t>Seizing</w:t>
      </w:r>
      <w:proofErr w:type="gramEnd"/>
      <w:r w:rsidRPr="00041113">
        <w:rPr>
          <w:rFonts w:ascii="Georgia" w:eastAsia="Times New Roman" w:hAnsi="Georgia" w:cs="Times New Roman"/>
          <w:i/>
          <w:color w:val="333333"/>
          <w:spacing w:val="2"/>
          <w:sz w:val="26"/>
          <w:szCs w:val="26"/>
          <w:shd w:val="clear" w:color="auto" w:fill="FCFCFC"/>
        </w:rPr>
        <w:t xml:space="preserve"> the moment: The presidential campaigns’ use of Twitter during the 2012 electoral cycle</w:t>
      </w:r>
      <w:r w:rsidRPr="00041113"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</w:rPr>
        <w:t>. New Media &amp; Society, </w:t>
      </w:r>
      <w:r w:rsidRPr="00041113"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</w:rPr>
        <w:fldChar w:fldCharType="begin"/>
      </w:r>
      <w:r w:rsidRPr="00041113"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</w:rPr>
        <w:instrText xml:space="preserve"> HYPERLINK "http://doi.org/10.1177/1461444814562445" \t "_blank" </w:instrText>
      </w:r>
      <w:r w:rsidRPr="00041113"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</w:rPr>
      </w:r>
      <w:r w:rsidRPr="00041113"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</w:rPr>
        <w:fldChar w:fldCharType="separate"/>
      </w:r>
      <w:r w:rsidRPr="00041113">
        <w:rPr>
          <w:rFonts w:ascii="Georgia" w:eastAsia="Times New Roman" w:hAnsi="Georgia" w:cs="Times New Roman"/>
          <w:color w:val="8E2555"/>
          <w:spacing w:val="2"/>
          <w:sz w:val="26"/>
          <w:szCs w:val="26"/>
        </w:rPr>
        <w:t>http://doi.org/10.1177/1461444814562445</w:t>
      </w:r>
      <w:r w:rsidRPr="00041113">
        <w:rPr>
          <w:rFonts w:ascii="Georgia" w:eastAsia="Times New Roman" w:hAnsi="Georgia" w:cs="Times New Roman"/>
          <w:color w:val="333333"/>
          <w:spacing w:val="2"/>
          <w:sz w:val="26"/>
          <w:szCs w:val="26"/>
          <w:shd w:val="clear" w:color="auto" w:fill="FCFCFC"/>
        </w:rPr>
        <w:fldChar w:fldCharType="end"/>
      </w:r>
    </w:p>
    <w:p w14:paraId="685A76D4" w14:textId="77777777" w:rsidR="00041113" w:rsidRDefault="00041113" w:rsidP="00EB5968">
      <w:pPr>
        <w:rPr>
          <w:rFonts w:ascii="Cambria" w:hAnsi="Cambria"/>
        </w:rPr>
      </w:pPr>
    </w:p>
    <w:p w14:paraId="718D8817" w14:textId="77777777" w:rsidR="00041113" w:rsidRPr="00041113" w:rsidRDefault="00041113" w:rsidP="00041113">
      <w:pPr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t>Morstatter</w:t>
      </w:r>
      <w:proofErr w:type="spellEnd"/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t xml:space="preserve">, F., </w:t>
      </w:r>
      <w:proofErr w:type="spellStart"/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t>Pfeffer</w:t>
      </w:r>
      <w:proofErr w:type="spellEnd"/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t xml:space="preserve">, J., Liu, H. and </w:t>
      </w:r>
      <w:proofErr w:type="spellStart"/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t>Carley</w:t>
      </w:r>
      <w:proofErr w:type="spellEnd"/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t>, K.M. (2013) </w:t>
      </w:r>
      <w:r w:rsidRPr="00041113">
        <w:rPr>
          <w:rFonts w:ascii="Georgia" w:eastAsia="Times New Roman" w:hAnsi="Georgia" w:cs="Times New Roman"/>
          <w:b/>
          <w:i/>
          <w:iCs/>
          <w:color w:val="333333"/>
          <w:spacing w:val="2"/>
          <w:sz w:val="26"/>
          <w:szCs w:val="26"/>
          <w:shd w:val="clear" w:color="auto" w:fill="FCFCFC"/>
        </w:rPr>
        <w:t xml:space="preserve">Is the Sample Good Enough? Comparing Data from Twitter’s Streaming API with Twitter’s </w:t>
      </w:r>
      <w:proofErr w:type="spellStart"/>
      <w:r w:rsidRPr="00041113">
        <w:rPr>
          <w:rFonts w:ascii="Georgia" w:eastAsia="Times New Roman" w:hAnsi="Georgia" w:cs="Times New Roman"/>
          <w:b/>
          <w:i/>
          <w:iCs/>
          <w:color w:val="333333"/>
          <w:spacing w:val="2"/>
          <w:sz w:val="26"/>
          <w:szCs w:val="26"/>
          <w:shd w:val="clear" w:color="auto" w:fill="FCFCFC"/>
        </w:rPr>
        <w:t>Firehose</w:t>
      </w:r>
      <w:proofErr w:type="spellEnd"/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t xml:space="preserve">. </w:t>
      </w:r>
      <w:proofErr w:type="gramStart"/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t>International Conference on Weblogs and Social Media; pp. 400–408, AAAI, </w:t>
      </w:r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fldChar w:fldCharType="begin"/>
      </w:r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instrText xml:space="preserve"> HYPERLINK "http://arxiv.org/abs/1306.5204" \t "_blank" </w:instrText>
      </w:r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</w:r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fldChar w:fldCharType="separate"/>
      </w:r>
      <w:r w:rsidRPr="00041113">
        <w:rPr>
          <w:rFonts w:ascii="Georgia" w:eastAsia="Times New Roman" w:hAnsi="Georgia" w:cs="Times New Roman"/>
          <w:b/>
          <w:color w:val="8E2555"/>
          <w:spacing w:val="2"/>
          <w:sz w:val="26"/>
          <w:szCs w:val="26"/>
          <w:u w:val="single"/>
        </w:rPr>
        <w:t>http://arxiv.org/abs/1306.5204</w:t>
      </w:r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fldChar w:fldCharType="end"/>
      </w:r>
      <w:r w:rsidRPr="00041113">
        <w:rPr>
          <w:rFonts w:ascii="Georgia" w:eastAsia="Times New Roman" w:hAnsi="Georgia" w:cs="Times New Roman"/>
          <w:b/>
          <w:color w:val="333333"/>
          <w:spacing w:val="2"/>
          <w:sz w:val="26"/>
          <w:szCs w:val="26"/>
          <w:shd w:val="clear" w:color="auto" w:fill="FCFCFC"/>
        </w:rPr>
        <w:t>.</w:t>
      </w:r>
      <w:proofErr w:type="gramEnd"/>
    </w:p>
    <w:p w14:paraId="5DAADBD4" w14:textId="77777777" w:rsidR="00041113" w:rsidRDefault="00041113" w:rsidP="00EB5968">
      <w:pPr>
        <w:rPr>
          <w:rFonts w:ascii="Cambria" w:hAnsi="Cambria"/>
        </w:rPr>
      </w:pPr>
    </w:p>
    <w:p w14:paraId="7EC04F6B" w14:textId="77777777" w:rsidR="00041113" w:rsidRPr="00041113" w:rsidRDefault="00041113" w:rsidP="00EB5968">
      <w:pPr>
        <w:rPr>
          <w:rFonts w:ascii="Cambria" w:hAnsi="Cambria"/>
        </w:rPr>
      </w:pPr>
    </w:p>
    <w:p w14:paraId="32B3C24B" w14:textId="77777777" w:rsidR="008632BA" w:rsidRPr="00041113" w:rsidRDefault="00DF075D" w:rsidP="00EB5968">
      <w:pPr>
        <w:rPr>
          <w:rFonts w:ascii="Cambria" w:hAnsi="Cambria"/>
        </w:rPr>
      </w:pPr>
      <w:proofErr w:type="gramStart"/>
      <w:r w:rsidRPr="00041113">
        <w:rPr>
          <w:rFonts w:ascii="Cambria" w:hAnsi="Cambria"/>
        </w:rPr>
        <w:t>Farrar-Myers, Victoria A., and Justin S. Vaughn.</w:t>
      </w:r>
      <w:proofErr w:type="gramEnd"/>
      <w:r w:rsidRPr="00041113">
        <w:rPr>
          <w:rFonts w:ascii="Cambria" w:hAnsi="Cambria"/>
        </w:rPr>
        <w:t xml:space="preserve"> </w:t>
      </w:r>
      <w:r w:rsidRPr="00041113">
        <w:rPr>
          <w:rFonts w:ascii="Cambria" w:hAnsi="Cambria"/>
          <w:i/>
        </w:rPr>
        <w:t>Controlling the Message: New Media in American Political Campaigns</w:t>
      </w:r>
      <w:r w:rsidRPr="00041113">
        <w:rPr>
          <w:rFonts w:ascii="Cambria" w:hAnsi="Cambria"/>
        </w:rPr>
        <w:t>. New York: New York UP, 2015. Print</w:t>
      </w:r>
    </w:p>
    <w:p w14:paraId="35318BFE" w14:textId="77777777" w:rsidR="00DF075D" w:rsidRPr="00041113" w:rsidRDefault="00DF075D" w:rsidP="00EB5968">
      <w:pPr>
        <w:rPr>
          <w:rFonts w:ascii="Cambria" w:hAnsi="Cambria"/>
        </w:rPr>
      </w:pPr>
      <w:r w:rsidRPr="00041113">
        <w:rPr>
          <w:rFonts w:ascii="Cambria" w:hAnsi="Cambria"/>
        </w:rPr>
        <w:tab/>
        <w:t>(The Competition to Control Campaign Messages on YouTube by Klotz 74)</w:t>
      </w:r>
    </w:p>
    <w:p w14:paraId="48D45375" w14:textId="77777777" w:rsidR="00DF075D" w:rsidRPr="00041113" w:rsidRDefault="00DF075D" w:rsidP="00EB5968">
      <w:pPr>
        <w:rPr>
          <w:rFonts w:ascii="Cambria" w:hAnsi="Cambria"/>
        </w:rPr>
      </w:pPr>
      <w:r w:rsidRPr="00041113">
        <w:rPr>
          <w:rFonts w:ascii="Cambria" w:hAnsi="Cambria"/>
        </w:rPr>
        <w:tab/>
        <w:t>(Campaign News in the Time of Twitter by Lawrence 93)</w:t>
      </w:r>
    </w:p>
    <w:p w14:paraId="14929496" w14:textId="77777777" w:rsidR="00DF075D" w:rsidRPr="00041113" w:rsidRDefault="00DF075D" w:rsidP="00EB5968">
      <w:pPr>
        <w:rPr>
          <w:rFonts w:ascii="Cambria" w:hAnsi="Cambria"/>
        </w:rPr>
      </w:pPr>
      <w:r w:rsidRPr="00041113">
        <w:rPr>
          <w:rFonts w:ascii="Cambria" w:hAnsi="Cambria"/>
        </w:rPr>
        <w:tab/>
      </w:r>
      <w:r w:rsidR="00CF309E" w:rsidRPr="00041113">
        <w:rPr>
          <w:rFonts w:ascii="Cambria" w:hAnsi="Cambria"/>
        </w:rPr>
        <w:t xml:space="preserve">(New and Traditional Media Reportage on Electoral Campaign </w:t>
      </w:r>
      <w:r w:rsidR="000D4C12" w:rsidRPr="00041113">
        <w:rPr>
          <w:rFonts w:ascii="Cambria" w:hAnsi="Cambria"/>
        </w:rPr>
        <w:t>Controversies</w:t>
      </w:r>
      <w:r w:rsidR="00CF309E" w:rsidRPr="00041113">
        <w:rPr>
          <w:rFonts w:ascii="Cambria" w:hAnsi="Cambria"/>
        </w:rPr>
        <w:t xml:space="preserve"> </w:t>
      </w:r>
      <w:proofErr w:type="spellStart"/>
      <w:r w:rsidR="00CF309E" w:rsidRPr="00041113">
        <w:rPr>
          <w:rFonts w:ascii="Cambria" w:hAnsi="Cambria"/>
        </w:rPr>
        <w:t>Gruszczynski</w:t>
      </w:r>
      <w:proofErr w:type="spellEnd"/>
      <w:r w:rsidR="00CF309E" w:rsidRPr="00041113">
        <w:rPr>
          <w:rFonts w:ascii="Cambria" w:hAnsi="Cambria"/>
        </w:rPr>
        <w:t xml:space="preserve"> 113)</w:t>
      </w:r>
    </w:p>
    <w:p w14:paraId="565AF33E" w14:textId="77777777" w:rsidR="00CF309E" w:rsidRPr="00041113" w:rsidRDefault="00CF309E" w:rsidP="00EB5968">
      <w:pPr>
        <w:rPr>
          <w:rFonts w:ascii="Cambria" w:hAnsi="Cambria"/>
        </w:rPr>
      </w:pPr>
      <w:r w:rsidRPr="00041113">
        <w:rPr>
          <w:rFonts w:ascii="Cambria" w:hAnsi="Cambria"/>
        </w:rPr>
        <w:tab/>
        <w:t xml:space="preserve">(Traditional Media, Social Media, and Different Presidential Campaign Messages </w:t>
      </w:r>
      <w:proofErr w:type="spellStart"/>
      <w:r w:rsidRPr="00041113">
        <w:rPr>
          <w:rFonts w:ascii="Cambria" w:hAnsi="Cambria"/>
        </w:rPr>
        <w:t>Eshbaugh-Soha</w:t>
      </w:r>
      <w:proofErr w:type="spellEnd"/>
      <w:r w:rsidRPr="00041113">
        <w:rPr>
          <w:rFonts w:ascii="Cambria" w:hAnsi="Cambria"/>
        </w:rPr>
        <w:t xml:space="preserve"> 136)</w:t>
      </w:r>
    </w:p>
    <w:p w14:paraId="7A326690" w14:textId="77777777" w:rsidR="00CF309E" w:rsidRPr="00041113" w:rsidRDefault="000D4C12" w:rsidP="00EB5968">
      <w:pPr>
        <w:rPr>
          <w:rFonts w:ascii="Cambria" w:hAnsi="Cambria"/>
        </w:rPr>
      </w:pPr>
      <w:r w:rsidRPr="00041113">
        <w:rPr>
          <w:rFonts w:ascii="Cambria" w:hAnsi="Cambria"/>
        </w:rPr>
        <w:tab/>
        <w:t xml:space="preserve">(Sparking Debate: Campaigns, Social Media, and Political Incivility </w:t>
      </w:r>
      <w:proofErr w:type="spellStart"/>
      <w:r w:rsidRPr="00041113">
        <w:rPr>
          <w:rFonts w:ascii="Cambria" w:hAnsi="Cambria"/>
        </w:rPr>
        <w:t>Coffery</w:t>
      </w:r>
      <w:proofErr w:type="spellEnd"/>
      <w:r w:rsidRPr="00041113">
        <w:rPr>
          <w:rFonts w:ascii="Cambria" w:hAnsi="Cambria"/>
        </w:rPr>
        <w:t xml:space="preserve">, Kohler and </w:t>
      </w:r>
      <w:proofErr w:type="spellStart"/>
      <w:r w:rsidRPr="00041113">
        <w:rPr>
          <w:rFonts w:ascii="Cambria" w:hAnsi="Cambria"/>
        </w:rPr>
        <w:t>Gragner</w:t>
      </w:r>
      <w:proofErr w:type="spellEnd"/>
      <w:r w:rsidRPr="00041113">
        <w:rPr>
          <w:rFonts w:ascii="Cambria" w:hAnsi="Cambria"/>
        </w:rPr>
        <w:t xml:space="preserve"> 245)</w:t>
      </w:r>
    </w:p>
    <w:p w14:paraId="7A95A8BB" w14:textId="77777777" w:rsidR="001D5B61" w:rsidRPr="00041113" w:rsidRDefault="001D5B61" w:rsidP="00EB5968">
      <w:pPr>
        <w:rPr>
          <w:rFonts w:ascii="Cambria" w:hAnsi="Cambria"/>
        </w:rPr>
      </w:pPr>
    </w:p>
    <w:p w14:paraId="5A77090A" w14:textId="77777777" w:rsidR="00CF309E" w:rsidRPr="00041113" w:rsidRDefault="00CF309E" w:rsidP="00EB5968">
      <w:pPr>
        <w:rPr>
          <w:rFonts w:ascii="Cambria" w:hAnsi="Cambria"/>
        </w:rPr>
      </w:pPr>
      <w:r w:rsidRPr="00041113">
        <w:rPr>
          <w:rFonts w:ascii="Cambria" w:hAnsi="Cambria"/>
        </w:rPr>
        <w:t>http://bits.blogs.nytimes.com/2012/08/01/twitter-unveils-the-twindex-a-new-political-index/</w:t>
      </w:r>
    </w:p>
    <w:sectPr w:rsidR="00CF309E" w:rsidRPr="00041113" w:rsidSect="009868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656BF"/>
    <w:multiLevelType w:val="hybridMultilevel"/>
    <w:tmpl w:val="DAD4A63E"/>
    <w:lvl w:ilvl="0" w:tplc="BC801E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68"/>
    <w:rsid w:val="00040819"/>
    <w:rsid w:val="00041113"/>
    <w:rsid w:val="000D4C12"/>
    <w:rsid w:val="001D5B61"/>
    <w:rsid w:val="00256011"/>
    <w:rsid w:val="008632BA"/>
    <w:rsid w:val="00887C18"/>
    <w:rsid w:val="0098684A"/>
    <w:rsid w:val="009F2F9A"/>
    <w:rsid w:val="00A92229"/>
    <w:rsid w:val="00AA1213"/>
    <w:rsid w:val="00CF309E"/>
    <w:rsid w:val="00DB372B"/>
    <w:rsid w:val="00DF075D"/>
    <w:rsid w:val="00EB59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A3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9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1113"/>
  </w:style>
  <w:style w:type="character" w:customStyle="1" w:styleId="externalref">
    <w:name w:val="externalref"/>
    <w:basedOn w:val="DefaultParagraphFont"/>
    <w:rsid w:val="00041113"/>
  </w:style>
  <w:style w:type="character" w:customStyle="1" w:styleId="refsource">
    <w:name w:val="refsource"/>
    <w:basedOn w:val="DefaultParagraphFont"/>
    <w:rsid w:val="00041113"/>
  </w:style>
  <w:style w:type="character" w:styleId="Emphasis">
    <w:name w:val="Emphasis"/>
    <w:basedOn w:val="DefaultParagraphFont"/>
    <w:uiPriority w:val="20"/>
    <w:qFormat/>
    <w:rsid w:val="0004111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9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1113"/>
  </w:style>
  <w:style w:type="character" w:customStyle="1" w:styleId="externalref">
    <w:name w:val="externalref"/>
    <w:basedOn w:val="DefaultParagraphFont"/>
    <w:rsid w:val="00041113"/>
  </w:style>
  <w:style w:type="character" w:customStyle="1" w:styleId="refsource">
    <w:name w:val="refsource"/>
    <w:basedOn w:val="DefaultParagraphFont"/>
    <w:rsid w:val="00041113"/>
  </w:style>
  <w:style w:type="character" w:styleId="Emphasis">
    <w:name w:val="Emphasis"/>
    <w:basedOn w:val="DefaultParagraphFont"/>
    <w:uiPriority w:val="20"/>
    <w:qFormat/>
    <w:rsid w:val="00041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677</Words>
  <Characters>3865</Characters>
  <Application>Microsoft Macintosh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Chesler</dc:creator>
  <cp:keywords/>
  <dc:description/>
  <cp:lastModifiedBy>Aaron Chesler</cp:lastModifiedBy>
  <cp:revision>2</cp:revision>
  <dcterms:created xsi:type="dcterms:W3CDTF">2016-09-12T02:44:00Z</dcterms:created>
  <dcterms:modified xsi:type="dcterms:W3CDTF">2016-09-14T07:15:00Z</dcterms:modified>
</cp:coreProperties>
</file>