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15/12/2019      TO       21/12/2019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looked into topics that we talked about during the presentation and came up with a rough plan on which direction I want to move my Project in. I also spent some time cleaning up and testing values in the GA code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Programming  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Testing 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Planing 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D3/mMxO1ebYdcDuGna5p20r9Dg==">AMUW2mWFEaN6lbfmdsg9wt0nKhcEOjGXJZbGUHEQjVYKW/5IGl9ldnix8tOcH0CIhdz428NzZkRhfEd29mmWeU34YvGlzuuQIpCpZxm3MVIVARlbBAhwOifEVAekSZmknSf/UMCZLfGG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